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310A6" w14:textId="77777777" w:rsidR="004F565C" w:rsidRDefault="000A7F14">
      <w:pPr>
        <w:spacing w:after="0" w:line="240" w:lineRule="auto"/>
        <w:ind w:left="609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341164204"/>
      <w:bookmarkStart w:id="1" w:name="_Toc247084589"/>
      <w:bookmarkEnd w:id="0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22F26761" w14:textId="77777777" w:rsidR="004F565C" w:rsidRDefault="004F565C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74BB1F" w14:textId="77777777" w:rsidR="004F565C" w:rsidRDefault="000A7F14">
      <w:pPr>
        <w:spacing w:after="0" w:line="240" w:lineRule="auto"/>
        <w:ind w:left="609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</w:p>
    <w:p w14:paraId="413B67A8" w14:textId="7F865CC4" w:rsidR="004F565C" w:rsidRDefault="000A7F14">
      <w:pPr>
        <w:spacing w:after="0" w:line="240" w:lineRule="auto"/>
        <w:ind w:left="609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АО «</w:t>
      </w:r>
      <w:r w:rsidR="00A21807">
        <w:rPr>
          <w:rFonts w:ascii="Times New Roman" w:eastAsia="Times New Roman" w:hAnsi="Times New Roman" w:cs="Times New Roman"/>
          <w:sz w:val="24"/>
          <w:szCs w:val="24"/>
          <w:lang w:eastAsia="ru-RU"/>
        </w:rPr>
        <w:t>Чукотэнерго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1F04783E" w14:textId="4D29A495" w:rsidR="004F565C" w:rsidRDefault="000A7F14">
      <w:pPr>
        <w:spacing w:after="0" w:line="240" w:lineRule="auto"/>
        <w:ind w:left="609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034AA4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034AA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48374B" w:rsidRPr="0010121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034AA4">
        <w:rPr>
          <w:rFonts w:ascii="Times New Roman" w:eastAsia="Times New Roman" w:hAnsi="Times New Roman" w:cs="Times New Roman"/>
          <w:sz w:val="24"/>
          <w:szCs w:val="24"/>
          <w:lang w:eastAsia="ru-RU"/>
        </w:rPr>
        <w:t>204</w:t>
      </w:r>
    </w:p>
    <w:p w14:paraId="09859EB2" w14:textId="77777777" w:rsidR="004F565C" w:rsidRDefault="004F565C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14:paraId="6625C0AB" w14:textId="77777777" w:rsidR="004F565C" w:rsidRDefault="004F565C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515D4E31" w14:textId="77777777" w:rsidR="004F565C" w:rsidRDefault="004F565C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038D8120" w14:textId="77777777" w:rsidR="004F565C" w:rsidRDefault="004F565C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669F5B80" w14:textId="77777777" w:rsidR="004F565C" w:rsidRDefault="004F565C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bookmarkStart w:id="2" w:name="_Toc341164204_Копия_1"/>
      <w:bookmarkStart w:id="3" w:name="_Toc247084589_Копия_1"/>
      <w:bookmarkEnd w:id="2"/>
      <w:bookmarkEnd w:id="3"/>
    </w:p>
    <w:p w14:paraId="0A862428" w14:textId="77777777" w:rsidR="004F565C" w:rsidRDefault="004F565C">
      <w:pPr>
        <w:rPr>
          <w:sz w:val="28"/>
          <w:szCs w:val="28"/>
        </w:rPr>
      </w:pPr>
    </w:p>
    <w:p w14:paraId="5725C029" w14:textId="77777777" w:rsidR="004F565C" w:rsidRDefault="004F565C">
      <w:pPr>
        <w:spacing w:after="255" w:line="300" w:lineRule="atLeast"/>
        <w:jc w:val="center"/>
        <w:outlineLvl w:val="1"/>
        <w:rPr>
          <w:rFonts w:ascii="Times New Roman" w:eastAsia="Times New Roman" w:hAnsi="Times New Roman" w:cs="Times New Roman"/>
          <w:color w:val="393A3A"/>
          <w:sz w:val="24"/>
          <w:szCs w:val="24"/>
          <w:lang w:eastAsia="ru-RU"/>
        </w:rPr>
      </w:pPr>
      <w:bookmarkStart w:id="4" w:name="_GoBack"/>
      <w:bookmarkEnd w:id="4"/>
    </w:p>
    <w:p w14:paraId="5E49D67C" w14:textId="77777777" w:rsidR="004F565C" w:rsidRDefault="000A7F14">
      <w:pPr>
        <w:spacing w:after="255" w:line="300" w:lineRule="atLeast"/>
        <w:jc w:val="center"/>
        <w:outlineLvl w:val="1"/>
        <w:rPr>
          <w:rStyle w:val="blk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393A3A"/>
          <w:sz w:val="24"/>
          <w:szCs w:val="24"/>
          <w:lang w:eastAsia="ru-RU"/>
        </w:rPr>
        <w:t> </w:t>
      </w:r>
      <w:r>
        <w:rPr>
          <w:rStyle w:val="blk"/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B63AF9" w14:textId="77777777" w:rsidR="004F565C" w:rsidRDefault="000A7F14">
      <w:pPr>
        <w:spacing w:after="255" w:line="300" w:lineRule="atLeast"/>
        <w:jc w:val="center"/>
        <w:outlineLvl w:val="1"/>
        <w:rPr>
          <w:rStyle w:val="blk"/>
          <w:rFonts w:ascii="Times New Roman" w:hAnsi="Times New Roman" w:cs="Times New Roman"/>
          <w:b/>
          <w:sz w:val="28"/>
          <w:szCs w:val="28"/>
        </w:rPr>
      </w:pPr>
      <w:r>
        <w:rPr>
          <w:rStyle w:val="blk"/>
          <w:rFonts w:ascii="Times New Roman" w:hAnsi="Times New Roman" w:cs="Times New Roman"/>
          <w:b/>
          <w:sz w:val="28"/>
          <w:szCs w:val="28"/>
        </w:rPr>
        <w:t>Типовые технические требования</w:t>
      </w:r>
    </w:p>
    <w:p w14:paraId="570139D3" w14:textId="77777777" w:rsidR="004F565C" w:rsidRDefault="000A7F14">
      <w:pPr>
        <w:spacing w:after="0" w:line="300" w:lineRule="atLeast"/>
        <w:jc w:val="center"/>
        <w:outlineLvl w:val="1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b/>
          <w:sz w:val="28"/>
          <w:szCs w:val="28"/>
        </w:rPr>
        <w:t xml:space="preserve">оснащения индивидуальными, общими (для коммунальной квартиры) и коллективными (общедомовыми) приборами учета электрической энергии </w:t>
      </w:r>
      <w:r>
        <w:rPr>
          <w:rStyle w:val="a3"/>
          <w:rFonts w:ascii="Times New Roman" w:hAnsi="Times New Roman" w:cs="Times New Roman"/>
          <w:sz w:val="28"/>
          <w:szCs w:val="28"/>
        </w:rPr>
        <w:t>при осуществлении строительства, реконструкции или</w:t>
      </w:r>
    </w:p>
    <w:p w14:paraId="6514258C" w14:textId="77777777" w:rsidR="004F565C" w:rsidRDefault="000A7F14">
      <w:pPr>
        <w:spacing w:after="0" w:line="30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капитального ремонта</w:t>
      </w:r>
      <w:r>
        <w:rPr>
          <w:rStyle w:val="blk"/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с последующей интеграцией данных приборов учета в модуль АИИСКУЭ облачной платформы</w:t>
      </w:r>
    </w:p>
    <w:p w14:paraId="50F15A27" w14:textId="77777777" w:rsidR="004F565C" w:rsidRDefault="000A7F14">
      <w:pPr>
        <w:spacing w:after="255" w:line="30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энергоданных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Группы РусГидро</w:t>
      </w:r>
    </w:p>
    <w:p w14:paraId="561C7264" w14:textId="77777777" w:rsidR="004F565C" w:rsidRDefault="004F565C">
      <w:pPr>
        <w:spacing w:after="255" w:line="30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C5D5992" w14:textId="77777777" w:rsidR="004F565C" w:rsidRDefault="004F565C">
      <w:pPr>
        <w:spacing w:after="255" w:line="30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441F774" w14:textId="77777777" w:rsidR="004F565C" w:rsidRDefault="004F565C">
      <w:pPr>
        <w:spacing w:after="255" w:line="30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1BEE692" w14:textId="77777777" w:rsidR="004F565C" w:rsidRDefault="004F565C">
      <w:pPr>
        <w:spacing w:after="255" w:line="30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3A0492F" w14:textId="77777777" w:rsidR="004F565C" w:rsidRDefault="004F565C">
      <w:pPr>
        <w:spacing w:after="255" w:line="30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72430E5" w14:textId="77777777" w:rsidR="004F565C" w:rsidRDefault="004F565C">
      <w:pPr>
        <w:spacing w:after="255" w:line="30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2748A1A" w14:textId="77777777" w:rsidR="004F565C" w:rsidRDefault="004F565C">
      <w:pPr>
        <w:spacing w:after="255" w:line="30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BE2B0CE" w14:textId="77777777" w:rsidR="004F565C" w:rsidRDefault="004F565C">
      <w:pPr>
        <w:spacing w:after="255" w:line="30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2A5B2DE" w14:textId="77777777" w:rsidR="004F565C" w:rsidRDefault="004F565C">
      <w:pPr>
        <w:spacing w:after="255" w:line="30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9CBCBEF" w14:textId="77777777" w:rsidR="004F565C" w:rsidRDefault="004F565C">
      <w:pPr>
        <w:spacing w:after="255" w:line="30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A5B6F22" w14:textId="77777777" w:rsidR="004F565C" w:rsidRDefault="004F565C">
      <w:pPr>
        <w:spacing w:after="255" w:line="30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0C346FE" w14:textId="3150402E" w:rsidR="004F565C" w:rsidRDefault="00A2180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Анадырь</w:t>
      </w:r>
    </w:p>
    <w:p w14:paraId="5E87375E" w14:textId="77777777" w:rsidR="004F565C" w:rsidRDefault="000A7F1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tbl>
      <w:tblPr>
        <w:tblW w:w="9640" w:type="dxa"/>
        <w:tblInd w:w="-141" w:type="dxa"/>
        <w:tblLayout w:type="fixed"/>
        <w:tblLook w:val="04A0" w:firstRow="1" w:lastRow="0" w:firstColumn="1" w:lastColumn="0" w:noHBand="0" w:noVBand="1"/>
      </w:tblPr>
      <w:tblGrid>
        <w:gridCol w:w="640"/>
        <w:gridCol w:w="7200"/>
        <w:gridCol w:w="1800"/>
      </w:tblGrid>
      <w:tr w:rsidR="004F565C" w14:paraId="681F8CC2" w14:textId="77777777">
        <w:trPr>
          <w:trHeight w:val="450"/>
        </w:trPr>
        <w:tc>
          <w:tcPr>
            <w:tcW w:w="640" w:type="dxa"/>
            <w:shd w:val="clear" w:color="auto" w:fill="auto"/>
            <w:vAlign w:val="bottom"/>
          </w:tcPr>
          <w:p w14:paraId="0463FABA" w14:textId="77777777" w:rsidR="004F565C" w:rsidRDefault="004F56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0" w:type="dxa"/>
            <w:shd w:val="clear" w:color="auto" w:fill="auto"/>
            <w:vAlign w:val="center"/>
          </w:tcPr>
          <w:p w14:paraId="0A966DE4" w14:textId="77777777" w:rsidR="004F565C" w:rsidRDefault="000A7F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СОДЕРЖАНИЕ</w:t>
            </w:r>
          </w:p>
          <w:p w14:paraId="48027FC5" w14:textId="77777777" w:rsidR="004F565C" w:rsidRDefault="004F56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2EC8E65" w14:textId="77777777" w:rsidR="004F565C" w:rsidRDefault="004F56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93A3A"/>
                <w:sz w:val="26"/>
                <w:szCs w:val="26"/>
                <w:lang w:eastAsia="ru-RU"/>
              </w:rPr>
            </w:pPr>
          </w:p>
        </w:tc>
      </w:tr>
      <w:tr w:rsidR="004F565C" w14:paraId="2CAEE051" w14:textId="77777777" w:rsidTr="00F53F05">
        <w:trPr>
          <w:trHeight w:val="450"/>
        </w:trPr>
        <w:tc>
          <w:tcPr>
            <w:tcW w:w="640" w:type="dxa"/>
            <w:shd w:val="clear" w:color="auto" w:fill="auto"/>
            <w:vAlign w:val="bottom"/>
          </w:tcPr>
          <w:p w14:paraId="1D67E70A" w14:textId="77777777" w:rsidR="004F565C" w:rsidRDefault="004F56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shd w:val="clear" w:color="auto" w:fill="auto"/>
          </w:tcPr>
          <w:p w14:paraId="36172813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Термины и определения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6938A5" w14:textId="3BC89FDC" w:rsidR="004F565C" w:rsidRDefault="00F53F05" w:rsidP="00F53F0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4F565C" w14:paraId="22DF8D9A" w14:textId="77777777">
        <w:trPr>
          <w:trHeight w:val="450"/>
        </w:trPr>
        <w:tc>
          <w:tcPr>
            <w:tcW w:w="640" w:type="dxa"/>
            <w:shd w:val="clear" w:color="auto" w:fill="auto"/>
          </w:tcPr>
          <w:p w14:paraId="4BE05D1D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7200" w:type="dxa"/>
            <w:shd w:val="clear" w:color="auto" w:fill="auto"/>
          </w:tcPr>
          <w:p w14:paraId="79610BA1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Цели и задачи</w:t>
            </w:r>
          </w:p>
        </w:tc>
        <w:tc>
          <w:tcPr>
            <w:tcW w:w="1800" w:type="dxa"/>
            <w:shd w:val="clear" w:color="auto" w:fill="auto"/>
          </w:tcPr>
          <w:p w14:paraId="1B08277C" w14:textId="77777777" w:rsidR="004F565C" w:rsidRDefault="000A7F1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4F565C" w14:paraId="46A42D61" w14:textId="77777777">
        <w:trPr>
          <w:trHeight w:val="750"/>
        </w:trPr>
        <w:tc>
          <w:tcPr>
            <w:tcW w:w="640" w:type="dxa"/>
            <w:shd w:val="clear" w:color="auto" w:fill="auto"/>
          </w:tcPr>
          <w:p w14:paraId="75480058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7200" w:type="dxa"/>
            <w:shd w:val="clear" w:color="auto" w:fill="auto"/>
          </w:tcPr>
          <w:p w14:paraId="66422109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Общие требования по передаче данных в облачную платформу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энергоданных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Группы РусГидро</w:t>
            </w:r>
          </w:p>
        </w:tc>
        <w:tc>
          <w:tcPr>
            <w:tcW w:w="1800" w:type="dxa"/>
            <w:shd w:val="clear" w:color="auto" w:fill="auto"/>
          </w:tcPr>
          <w:p w14:paraId="11FA33DC" w14:textId="77777777" w:rsidR="004F565C" w:rsidRDefault="000A7F1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4F565C" w14:paraId="30502040" w14:textId="77777777">
        <w:trPr>
          <w:trHeight w:val="471"/>
        </w:trPr>
        <w:tc>
          <w:tcPr>
            <w:tcW w:w="640" w:type="dxa"/>
            <w:shd w:val="clear" w:color="auto" w:fill="auto"/>
          </w:tcPr>
          <w:p w14:paraId="236DAD65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</w:t>
            </w:r>
          </w:p>
        </w:tc>
        <w:tc>
          <w:tcPr>
            <w:tcW w:w="7200" w:type="dxa"/>
            <w:shd w:val="clear" w:color="auto" w:fill="auto"/>
          </w:tcPr>
          <w:p w14:paraId="41A1B649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Общие требования к приборам учета</w:t>
            </w:r>
          </w:p>
        </w:tc>
        <w:tc>
          <w:tcPr>
            <w:tcW w:w="1800" w:type="dxa"/>
            <w:shd w:val="clear" w:color="auto" w:fill="auto"/>
          </w:tcPr>
          <w:p w14:paraId="73DAEA01" w14:textId="77777777" w:rsidR="004F565C" w:rsidRDefault="000A7F1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4F565C" w14:paraId="64FA621E" w14:textId="77777777">
        <w:trPr>
          <w:trHeight w:val="495"/>
        </w:trPr>
        <w:tc>
          <w:tcPr>
            <w:tcW w:w="640" w:type="dxa"/>
            <w:shd w:val="clear" w:color="auto" w:fill="auto"/>
          </w:tcPr>
          <w:p w14:paraId="0CF202B5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2.2.</w:t>
            </w:r>
          </w:p>
        </w:tc>
        <w:tc>
          <w:tcPr>
            <w:tcW w:w="7200" w:type="dxa"/>
            <w:shd w:val="clear" w:color="auto" w:fill="auto"/>
          </w:tcPr>
          <w:p w14:paraId="3B5E89DC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Общие требования к трансформаторам тока</w:t>
            </w:r>
          </w:p>
        </w:tc>
        <w:tc>
          <w:tcPr>
            <w:tcW w:w="1800" w:type="dxa"/>
            <w:shd w:val="clear" w:color="auto" w:fill="auto"/>
          </w:tcPr>
          <w:p w14:paraId="34DB87ED" w14:textId="4396B72F" w:rsidR="004F565C" w:rsidRDefault="00FC086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4F565C" w14:paraId="7BA07B34" w14:textId="77777777">
        <w:trPr>
          <w:trHeight w:val="553"/>
        </w:trPr>
        <w:tc>
          <w:tcPr>
            <w:tcW w:w="640" w:type="dxa"/>
            <w:shd w:val="clear" w:color="auto" w:fill="auto"/>
          </w:tcPr>
          <w:p w14:paraId="39ED545F" w14:textId="1D07B545" w:rsidR="004F565C" w:rsidRDefault="00126C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2.3</w:t>
            </w:r>
            <w:r w:rsidR="000A7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200" w:type="dxa"/>
            <w:shd w:val="clear" w:color="auto" w:fill="auto"/>
          </w:tcPr>
          <w:p w14:paraId="60CA90FC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Описание интеллектуальной системы учета</w:t>
            </w:r>
          </w:p>
        </w:tc>
        <w:tc>
          <w:tcPr>
            <w:tcW w:w="1800" w:type="dxa"/>
            <w:shd w:val="clear" w:color="auto" w:fill="auto"/>
          </w:tcPr>
          <w:p w14:paraId="5628F088" w14:textId="6AC7A285" w:rsidR="004F565C" w:rsidRDefault="00FC086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4F565C" w14:paraId="7AEBD19D" w14:textId="77777777">
        <w:trPr>
          <w:trHeight w:val="1130"/>
        </w:trPr>
        <w:tc>
          <w:tcPr>
            <w:tcW w:w="640" w:type="dxa"/>
            <w:shd w:val="clear" w:color="auto" w:fill="auto"/>
          </w:tcPr>
          <w:p w14:paraId="56A36603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7200" w:type="dxa"/>
            <w:shd w:val="clear" w:color="auto" w:fill="auto"/>
          </w:tcPr>
          <w:p w14:paraId="558D5F20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Порядок оснащения индивидуальными, общими (для коммунальной квартиры) и коллективными (общедомовыми) приборами учета электрической энергии</w:t>
            </w:r>
          </w:p>
        </w:tc>
        <w:tc>
          <w:tcPr>
            <w:tcW w:w="1800" w:type="dxa"/>
            <w:shd w:val="clear" w:color="auto" w:fill="auto"/>
          </w:tcPr>
          <w:p w14:paraId="2B8726E4" w14:textId="2B5F7DAE" w:rsidR="004F565C" w:rsidRDefault="00FC086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4F565C" w14:paraId="32B2524A" w14:textId="77777777">
        <w:trPr>
          <w:trHeight w:val="690"/>
        </w:trPr>
        <w:tc>
          <w:tcPr>
            <w:tcW w:w="640" w:type="dxa"/>
            <w:shd w:val="clear" w:color="auto" w:fill="auto"/>
          </w:tcPr>
          <w:p w14:paraId="43D57D9B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3.1.</w:t>
            </w:r>
          </w:p>
        </w:tc>
        <w:tc>
          <w:tcPr>
            <w:tcW w:w="7200" w:type="dxa"/>
            <w:shd w:val="clear" w:color="auto" w:fill="auto"/>
          </w:tcPr>
          <w:p w14:paraId="704069AA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этапы выполнения работ и требования к Застройщику</w:t>
            </w:r>
          </w:p>
        </w:tc>
        <w:tc>
          <w:tcPr>
            <w:tcW w:w="1800" w:type="dxa"/>
            <w:shd w:val="clear" w:color="auto" w:fill="auto"/>
          </w:tcPr>
          <w:p w14:paraId="72228E19" w14:textId="54E91EBB" w:rsidR="004F565C" w:rsidRDefault="00FC086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4F565C" w14:paraId="640CB77A" w14:textId="77777777">
        <w:trPr>
          <w:trHeight w:val="435"/>
        </w:trPr>
        <w:tc>
          <w:tcPr>
            <w:tcW w:w="640" w:type="dxa"/>
            <w:shd w:val="clear" w:color="auto" w:fill="auto"/>
          </w:tcPr>
          <w:p w14:paraId="7E0BA870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3.2.</w:t>
            </w:r>
          </w:p>
        </w:tc>
        <w:tc>
          <w:tcPr>
            <w:tcW w:w="7200" w:type="dxa"/>
            <w:shd w:val="clear" w:color="auto" w:fill="auto"/>
          </w:tcPr>
          <w:p w14:paraId="2049BC70" w14:textId="49B2ABB1" w:rsidR="004F565C" w:rsidRDefault="00021D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21D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Проверка выполнения технических требов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аний и допуск ИПУ в эксплуатацию</w:t>
            </w:r>
          </w:p>
        </w:tc>
        <w:tc>
          <w:tcPr>
            <w:tcW w:w="1800" w:type="dxa"/>
            <w:shd w:val="clear" w:color="auto" w:fill="auto"/>
          </w:tcPr>
          <w:p w14:paraId="47CECFF5" w14:textId="0E63FE3C" w:rsidR="004F565C" w:rsidRDefault="000A7F14" w:rsidP="00021D1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021D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4F565C" w14:paraId="52E14A28" w14:textId="77777777">
        <w:trPr>
          <w:trHeight w:val="690"/>
        </w:trPr>
        <w:tc>
          <w:tcPr>
            <w:tcW w:w="640" w:type="dxa"/>
            <w:shd w:val="clear" w:color="auto" w:fill="auto"/>
          </w:tcPr>
          <w:p w14:paraId="56E7BC7A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7200" w:type="dxa"/>
            <w:shd w:val="clear" w:color="auto" w:fill="auto"/>
          </w:tcPr>
          <w:p w14:paraId="13368983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Прием-передача установленных Застройщиком ИПУ Гарантирующему поставщику</w:t>
            </w:r>
          </w:p>
        </w:tc>
        <w:tc>
          <w:tcPr>
            <w:tcW w:w="1800" w:type="dxa"/>
            <w:shd w:val="clear" w:color="auto" w:fill="auto"/>
          </w:tcPr>
          <w:p w14:paraId="2E461D5D" w14:textId="157413D6" w:rsidR="004F565C" w:rsidRDefault="000A7F14" w:rsidP="00CD0EB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CD0E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</w:tbl>
    <w:p w14:paraId="27E6C46A" w14:textId="77777777" w:rsidR="004F565C" w:rsidRDefault="000A7F14">
      <w:pPr>
        <w:shd w:val="clear" w:color="auto" w:fill="FFFFFF"/>
        <w:tabs>
          <w:tab w:val="left" w:pos="2268"/>
        </w:tabs>
        <w:spacing w:beforeAutospacing="1" w:after="150" w:line="270" w:lineRule="atLeast"/>
        <w:jc w:val="both"/>
        <w:rPr>
          <w:rFonts w:ascii="Times New Roman" w:eastAsia="Times New Roman" w:hAnsi="Times New Roman" w:cs="Times New Roman"/>
          <w:color w:val="393A3A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Приложение №1</w:t>
      </w:r>
      <w:r>
        <w:rPr>
          <w:rFonts w:ascii="Times New Roman" w:hAnsi="Times New Roman" w:cs="Times New Roman"/>
          <w:bCs/>
          <w:sz w:val="26"/>
          <w:szCs w:val="26"/>
        </w:rPr>
        <w:tab/>
        <w:t>Концептуальная схема исполнения требований Федерального закона от 27.12.2018 № 522 – ФЗ</w:t>
      </w:r>
    </w:p>
    <w:p w14:paraId="5B09CEDA" w14:textId="77777777" w:rsidR="004F565C" w:rsidRDefault="000A7F14">
      <w:pPr>
        <w:shd w:val="clear" w:color="auto" w:fill="FFFFFF"/>
        <w:tabs>
          <w:tab w:val="left" w:pos="2268"/>
        </w:tabs>
        <w:spacing w:beforeAutospacing="1" w:after="150" w:line="27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393A3A"/>
          <w:sz w:val="26"/>
          <w:szCs w:val="26"/>
          <w:lang w:eastAsia="ru-RU"/>
        </w:rPr>
        <w:t>Приложение №2</w:t>
      </w:r>
      <w:r>
        <w:rPr>
          <w:rFonts w:ascii="Times New Roman" w:eastAsia="Times New Roman" w:hAnsi="Times New Roman" w:cs="Times New Roman"/>
          <w:b/>
          <w:color w:val="393A3A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393A3A"/>
          <w:sz w:val="26"/>
          <w:szCs w:val="26"/>
          <w:lang w:eastAsia="ru-RU"/>
        </w:rPr>
        <w:t xml:space="preserve">Требования к приборам учета на </w:t>
      </w:r>
      <w:r>
        <w:rPr>
          <w:rFonts w:ascii="Times New Roman" w:hAnsi="Times New Roman" w:cs="Times New Roman"/>
          <w:sz w:val="26"/>
          <w:szCs w:val="26"/>
        </w:rPr>
        <w:t>соответствие действующему законодательству в области минимального набора функций, указанных в ПП РФ №890 от 19.07.2020</w:t>
      </w:r>
    </w:p>
    <w:p w14:paraId="225171D1" w14:textId="77777777" w:rsidR="004F565C" w:rsidRDefault="004F565C">
      <w:pPr>
        <w:shd w:val="clear" w:color="auto" w:fill="FFFFFF"/>
        <w:tabs>
          <w:tab w:val="left" w:pos="0"/>
        </w:tabs>
        <w:spacing w:beforeAutospacing="1" w:after="150" w:line="270" w:lineRule="atLeast"/>
        <w:jc w:val="both"/>
        <w:rPr>
          <w:rFonts w:ascii="Times New Roman" w:eastAsia="Times New Roman" w:hAnsi="Times New Roman" w:cs="Times New Roman"/>
          <w:color w:val="393A3A"/>
          <w:sz w:val="26"/>
          <w:szCs w:val="26"/>
          <w:lang w:eastAsia="ru-RU"/>
        </w:rPr>
      </w:pPr>
    </w:p>
    <w:p w14:paraId="298812A1" w14:textId="77777777" w:rsidR="004F565C" w:rsidRDefault="004F565C">
      <w:pPr>
        <w:tabs>
          <w:tab w:val="left" w:pos="1134"/>
          <w:tab w:val="right" w:leader="dot" w:pos="9923"/>
        </w:tabs>
        <w:spacing w:before="120" w:after="120"/>
        <w:ind w:left="709" w:right="-285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14:paraId="643F6AB3" w14:textId="77777777" w:rsidR="004F565C" w:rsidRDefault="004F565C">
      <w:pPr>
        <w:tabs>
          <w:tab w:val="left" w:pos="1134"/>
          <w:tab w:val="right" w:leader="dot" w:pos="9923"/>
        </w:tabs>
        <w:spacing w:before="120" w:after="120"/>
        <w:ind w:left="709" w:right="-285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14:paraId="6FED486A" w14:textId="77777777" w:rsidR="004F565C" w:rsidRDefault="004F565C">
      <w:pPr>
        <w:tabs>
          <w:tab w:val="left" w:pos="1134"/>
          <w:tab w:val="right" w:leader="dot" w:pos="9923"/>
        </w:tabs>
        <w:spacing w:before="120" w:after="120"/>
        <w:ind w:left="709" w:right="-285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14:paraId="7D000037" w14:textId="77777777" w:rsidR="004F565C" w:rsidRDefault="004F565C">
      <w:pPr>
        <w:tabs>
          <w:tab w:val="left" w:pos="1134"/>
          <w:tab w:val="right" w:leader="dot" w:pos="9923"/>
        </w:tabs>
        <w:spacing w:before="120" w:after="120"/>
        <w:ind w:left="709" w:right="-285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14:paraId="04154BF9" w14:textId="77777777" w:rsidR="004F565C" w:rsidRDefault="004F565C">
      <w:pPr>
        <w:tabs>
          <w:tab w:val="left" w:pos="1134"/>
          <w:tab w:val="right" w:leader="dot" w:pos="9923"/>
        </w:tabs>
        <w:spacing w:before="120" w:after="120"/>
        <w:ind w:left="709" w:right="-285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14:paraId="40104B06" w14:textId="77777777" w:rsidR="004F565C" w:rsidRDefault="004F565C">
      <w:pPr>
        <w:tabs>
          <w:tab w:val="left" w:pos="1134"/>
          <w:tab w:val="right" w:leader="dot" w:pos="9923"/>
        </w:tabs>
        <w:spacing w:before="120" w:after="120"/>
        <w:ind w:left="709" w:right="-285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14:paraId="4C1B0E87" w14:textId="77777777" w:rsidR="004F565C" w:rsidRDefault="004F565C">
      <w:pPr>
        <w:tabs>
          <w:tab w:val="left" w:pos="1134"/>
          <w:tab w:val="right" w:leader="dot" w:pos="9923"/>
        </w:tabs>
        <w:spacing w:before="120" w:after="120"/>
        <w:ind w:left="709" w:right="-285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14:paraId="450939B8" w14:textId="77777777" w:rsidR="004F565C" w:rsidRDefault="004F565C">
      <w:pPr>
        <w:tabs>
          <w:tab w:val="left" w:pos="1134"/>
          <w:tab w:val="right" w:leader="dot" w:pos="9923"/>
        </w:tabs>
        <w:spacing w:before="120" w:after="120"/>
        <w:ind w:left="709" w:right="-285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14:paraId="0DF8182C" w14:textId="1068AE5E" w:rsidR="004F565C" w:rsidRDefault="004F565C">
      <w:pPr>
        <w:tabs>
          <w:tab w:val="left" w:pos="1134"/>
          <w:tab w:val="right" w:leader="dot" w:pos="9923"/>
        </w:tabs>
        <w:spacing w:before="120" w:after="120"/>
        <w:ind w:left="709" w:right="-285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14:paraId="1AF5F643" w14:textId="431832D6" w:rsidR="00126C51" w:rsidRDefault="00126C51">
      <w:pPr>
        <w:tabs>
          <w:tab w:val="left" w:pos="1134"/>
          <w:tab w:val="right" w:leader="dot" w:pos="9923"/>
        </w:tabs>
        <w:spacing w:before="120" w:after="120"/>
        <w:ind w:left="709" w:right="-285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14:paraId="126301CE" w14:textId="77777777" w:rsidR="00126C51" w:rsidRDefault="00126C51">
      <w:pPr>
        <w:tabs>
          <w:tab w:val="left" w:pos="1134"/>
          <w:tab w:val="right" w:leader="dot" w:pos="9923"/>
        </w:tabs>
        <w:spacing w:before="120" w:after="120"/>
        <w:ind w:left="709" w:right="-285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14:paraId="01C3F8AD" w14:textId="77777777" w:rsidR="004F565C" w:rsidRDefault="000A7F14">
      <w:pPr>
        <w:tabs>
          <w:tab w:val="left" w:pos="1134"/>
          <w:tab w:val="right" w:leader="dot" w:pos="9923"/>
        </w:tabs>
        <w:spacing w:before="120" w:after="120"/>
        <w:ind w:left="709" w:right="-285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>
        <w:rPr>
          <w:rFonts w:ascii="Times New Roman" w:hAnsi="Times New Roman" w:cs="Times New Roman"/>
          <w:b/>
          <w:bCs/>
          <w:caps/>
          <w:sz w:val="26"/>
          <w:szCs w:val="26"/>
        </w:rPr>
        <w:lastRenderedPageBreak/>
        <w:t>Термины и определения</w:t>
      </w:r>
    </w:p>
    <w:tbl>
      <w:tblPr>
        <w:tblW w:w="970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746"/>
        <w:gridCol w:w="5963"/>
      </w:tblGrid>
      <w:tr w:rsidR="004F565C" w14:paraId="090A76B7" w14:textId="77777777" w:rsidTr="00AF5465">
        <w:trPr>
          <w:trHeight w:val="990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7AA29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Ethernet</w:t>
            </w:r>
            <w:proofErr w:type="spellEnd"/>
          </w:p>
        </w:tc>
        <w:tc>
          <w:tcPr>
            <w:tcW w:w="5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7D245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Семейство технологий пакетной передачи данных между устройствами для компьютерных и промышленных сетей</w:t>
            </w:r>
          </w:p>
        </w:tc>
      </w:tr>
      <w:tr w:rsidR="004F565C" w14:paraId="27ED56DA" w14:textId="77777777" w:rsidTr="00AF5465">
        <w:trPr>
          <w:trHeight w:val="375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8EF31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GPRS, 3G, 4G, LTE, 5G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D2B27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Стандарт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сотовой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связи</w:t>
            </w:r>
            <w:proofErr w:type="spellEnd"/>
          </w:p>
        </w:tc>
      </w:tr>
      <w:tr w:rsidR="004F565C" w14:paraId="62FFD074" w14:textId="77777777" w:rsidTr="00AF5465">
        <w:trPr>
          <w:trHeight w:val="750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9C14F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LTE CAT-NB/NB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,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9E4EA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Стандарт сотовой связи для устройств телеметрии с низкими объёмами обмена данными</w:t>
            </w:r>
          </w:p>
        </w:tc>
      </w:tr>
      <w:tr w:rsidR="004F565C" w14:paraId="6EBAF144" w14:textId="77777777" w:rsidTr="00AF5465">
        <w:trPr>
          <w:trHeight w:val="330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ECDE44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Mesh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сеть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178E4D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Распределенная,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одноранговая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ячеистая сеть.</w:t>
            </w:r>
          </w:p>
        </w:tc>
      </w:tr>
      <w:tr w:rsidR="004F565C" w14:paraId="4172E58C" w14:textId="77777777" w:rsidTr="00AF5465">
        <w:trPr>
          <w:trHeight w:val="660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6C0FB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RF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Zigbee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)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619A7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Radio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Frequency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– технология беспроводной передачи данных с использованием частот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нелицензируемого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диапазона.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Zigbee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спецификация </w:t>
            </w:r>
            <w:hyperlink r:id="rId9" w:tgtFrame="Протоколы сетевого уровня">
              <w:r>
                <w:rPr>
                  <w:rFonts w:ascii="Times New Roman" w:eastAsia="Times New Roman" w:hAnsi="Times New Roman" w:cs="Times New Roman"/>
                  <w:color w:val="000000"/>
                  <w:sz w:val="26"/>
                  <w:szCs w:val="26"/>
                  <w:lang w:eastAsia="ru-RU"/>
                </w:rPr>
                <w:t>сетевых протоколов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верхнего уровня — уровня приложений APS (</w:t>
            </w:r>
            <w:hyperlink r:id="rId10" w:tgtFrame="Английский язык">
              <w:r>
                <w:rPr>
                  <w:rFonts w:ascii="Times New Roman" w:eastAsia="Times New Roman" w:hAnsi="Times New Roman" w:cs="Times New Roman"/>
                  <w:color w:val="000000"/>
                  <w:sz w:val="26"/>
                  <w:szCs w:val="26"/>
                  <w:lang w:eastAsia="ru-RU"/>
                </w:rPr>
                <w:t>англ.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application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support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sublayer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 и сетевого уровня NWK, — использующих сервисы нижних уровней — уровня управления доступом к среде </w:t>
            </w:r>
            <w:hyperlink r:id="rId11" w:tgtFrame="Media Access Control">
              <w:r>
                <w:rPr>
                  <w:rFonts w:ascii="Times New Roman" w:eastAsia="Times New Roman" w:hAnsi="Times New Roman" w:cs="Times New Roman"/>
                  <w:color w:val="000000"/>
                  <w:sz w:val="26"/>
                  <w:szCs w:val="26"/>
                  <w:lang w:eastAsia="ru-RU"/>
                </w:rPr>
                <w:t>MAC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и физического уровня </w:t>
            </w:r>
            <w:hyperlink r:id="rId12" w:tgtFrame="PHY">
              <w:r>
                <w:rPr>
                  <w:rFonts w:ascii="Times New Roman" w:eastAsia="Times New Roman" w:hAnsi="Times New Roman" w:cs="Times New Roman"/>
                  <w:color w:val="000000"/>
                  <w:sz w:val="26"/>
                  <w:szCs w:val="26"/>
                  <w:lang w:eastAsia="ru-RU"/>
                </w:rPr>
                <w:t>PHY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регламентированных стандартом </w:t>
            </w:r>
            <w:hyperlink r:id="rId13" w:tgtFrame="IEEE 802.15.4-2006">
              <w:r>
                <w:rPr>
                  <w:rFonts w:ascii="Times New Roman" w:eastAsia="Times New Roman" w:hAnsi="Times New Roman" w:cs="Times New Roman"/>
                  <w:color w:val="000000"/>
                  <w:sz w:val="26"/>
                  <w:szCs w:val="26"/>
                  <w:lang w:eastAsia="ru-RU"/>
                </w:rPr>
                <w:t>IEEE 802.15.4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Zigbee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IEEE 802.15.4 описывают </w:t>
            </w:r>
            <w:hyperlink r:id="rId14" w:tgtFrame="Беспроводные персональные сети (WPAN)">
              <w:r>
                <w:rPr>
                  <w:rFonts w:ascii="Times New Roman" w:eastAsia="Times New Roman" w:hAnsi="Times New Roman" w:cs="Times New Roman"/>
                  <w:color w:val="000000"/>
                  <w:sz w:val="26"/>
                  <w:szCs w:val="26"/>
                  <w:lang w:eastAsia="ru-RU"/>
                </w:rPr>
                <w:t>беспроводные персональные сети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(WPAN)</w:t>
            </w:r>
          </w:p>
        </w:tc>
      </w:tr>
      <w:tr w:rsidR="004F565C" w14:paraId="20E0DBF4" w14:textId="77777777" w:rsidTr="00AF5465">
        <w:trPr>
          <w:trHeight w:val="660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D0971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RS-485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02F3C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Технология проводной передачи данных</w:t>
            </w:r>
          </w:p>
        </w:tc>
      </w:tr>
      <w:tr w:rsidR="004F565C" w14:paraId="33CCC11E" w14:textId="77777777" w:rsidTr="00AF5465">
        <w:trPr>
          <w:trHeight w:val="1125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2DA3B" w14:textId="676645BD" w:rsidR="004F565C" w:rsidRDefault="000A7F14" w:rsidP="00D4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SCADA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абр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англ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. Supervisory Control And Data Acquisition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B0B4A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Диспетчерское управление и сбор данных</w:t>
            </w:r>
          </w:p>
        </w:tc>
      </w:tr>
      <w:tr w:rsidR="004F565C" w14:paraId="32869418" w14:textId="77777777" w:rsidTr="00AF5465">
        <w:trPr>
          <w:trHeight w:val="375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96E52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XML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A1222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Расширяемый язык разметки</w:t>
            </w:r>
          </w:p>
        </w:tc>
      </w:tr>
      <w:tr w:rsidR="004F565C" w14:paraId="284EE13E" w14:textId="77777777" w:rsidTr="00AF5465">
        <w:trPr>
          <w:trHeight w:val="660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C2C37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АИИСКУЭ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92F78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Автоматизированная информационно-измерительная система коммерческого учета электроэнергии.</w:t>
            </w:r>
          </w:p>
        </w:tc>
      </w:tr>
      <w:tr w:rsidR="004F565C" w14:paraId="502D6A60" w14:textId="77777777" w:rsidTr="00AF5465">
        <w:trPr>
          <w:trHeight w:val="720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3C869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ГП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C4985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Гарантирующий поставщик</w:t>
            </w:r>
          </w:p>
        </w:tc>
      </w:tr>
      <w:tr w:rsidR="004F565C" w14:paraId="37D7965A" w14:textId="77777777" w:rsidTr="00AF5465">
        <w:trPr>
          <w:trHeight w:val="1650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6D6D6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Застройщик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CDA83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Физическое/юридическое лицо или орган государственной исполнительной власти/местного самоуправления, получившее в установленном порядке земельный участок под строительство или реконструкцию комплекса недвижимого имущества</w:t>
            </w:r>
          </w:p>
        </w:tc>
      </w:tr>
      <w:tr w:rsidR="004F565C" w14:paraId="0EBB104D" w14:textId="77777777" w:rsidTr="00AF5465">
        <w:trPr>
          <w:trHeight w:val="990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FCE77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ИВК</w:t>
            </w:r>
          </w:p>
        </w:tc>
        <w:tc>
          <w:tcPr>
            <w:tcW w:w="5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087EB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Совокупность функционально объединенных программных, информационных и технических средств</w:t>
            </w:r>
          </w:p>
        </w:tc>
      </w:tr>
      <w:tr w:rsidR="004F565C" w14:paraId="09FB286B" w14:textId="77777777" w:rsidTr="00AF5465">
        <w:trPr>
          <w:trHeight w:val="375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D09DA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ИПУ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FCCA9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Интеллектуальный прибор учета.</w:t>
            </w:r>
          </w:p>
        </w:tc>
      </w:tr>
      <w:tr w:rsidR="004F565C" w14:paraId="612F50F6" w14:textId="77777777" w:rsidTr="00AF5465">
        <w:trPr>
          <w:trHeight w:val="375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A4D1E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D2CDF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Прибор учета электроэнергии</w:t>
            </w:r>
          </w:p>
        </w:tc>
      </w:tr>
      <w:tr w:rsidR="004F565C" w14:paraId="55FA27F6" w14:textId="77777777" w:rsidTr="00AF5465">
        <w:trPr>
          <w:trHeight w:val="375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1D810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ИСУ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AD0D4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Интеллектуальная система учета</w:t>
            </w:r>
          </w:p>
        </w:tc>
      </w:tr>
      <w:tr w:rsidR="004F565C" w14:paraId="2BBF6B4D" w14:textId="77777777" w:rsidTr="00AF5465">
        <w:trPr>
          <w:trHeight w:val="375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BE520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ИТТ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1F7E2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Измерительные трансформаторы тока</w:t>
            </w:r>
          </w:p>
        </w:tc>
      </w:tr>
      <w:tr w:rsidR="004F565C" w14:paraId="7AF1CD9F" w14:textId="77777777" w:rsidTr="00AF5465">
        <w:trPr>
          <w:trHeight w:val="375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42669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МКД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28841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Многоквартирный дом</w:t>
            </w:r>
          </w:p>
        </w:tc>
      </w:tr>
      <w:tr w:rsidR="004F565C" w14:paraId="37DC61E6" w14:textId="77777777" w:rsidTr="00AF5465">
        <w:trPr>
          <w:trHeight w:val="375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A4CD1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МКС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1B1BC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Маршрутизатор каналов связи</w:t>
            </w:r>
          </w:p>
        </w:tc>
      </w:tr>
      <w:tr w:rsidR="004F565C" w14:paraId="4200EB3B" w14:textId="77777777" w:rsidTr="00AF5465">
        <w:trPr>
          <w:trHeight w:val="375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47DE9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ПД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F26D0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Проектная документация</w:t>
            </w:r>
          </w:p>
        </w:tc>
      </w:tr>
      <w:tr w:rsidR="004F565C" w14:paraId="5E50DEFB" w14:textId="77777777" w:rsidTr="00AF5465">
        <w:trPr>
          <w:trHeight w:val="1650"/>
        </w:trPr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CFF0A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ПП РФ №442</w:t>
            </w:r>
          </w:p>
        </w:tc>
        <w:tc>
          <w:tcPr>
            <w:tcW w:w="5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0FCD8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Постановление Правительства Российской Федерации от 04.05.2012 №442 «О функционировании розничных рынков электрической энергии, полном и (или) частичном ограничении режима потребления электрической энергии»</w:t>
            </w:r>
          </w:p>
        </w:tc>
      </w:tr>
      <w:tr w:rsidR="004F565C" w14:paraId="4CA1BB38" w14:textId="77777777" w:rsidTr="00AF5465">
        <w:trPr>
          <w:trHeight w:val="1320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2E68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ПП РФ №890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C22D9" w14:textId="77777777" w:rsidR="004F565C" w:rsidRDefault="000A7F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Постановление Правительства Российской Федерации от 19 июня 2020 г. № 890 «О порядке предоставления доступа к минимальному набору функций интеллектуальных систем учета электрической энергии (мощности)»</w:t>
            </w:r>
          </w:p>
        </w:tc>
      </w:tr>
      <w:tr w:rsidR="004F565C" w14:paraId="6382DDED" w14:textId="77777777" w:rsidTr="00AF5465">
        <w:trPr>
          <w:trHeight w:val="375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82BC2" w14:textId="3EB5E98B" w:rsidR="004F565C" w:rsidRPr="00AD247F" w:rsidRDefault="00AF54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 w:rsidRPr="00AD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Pr="00AD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НСТ 896-2023</w:t>
            </w:r>
          </w:p>
        </w:tc>
        <w:tc>
          <w:tcPr>
            <w:tcW w:w="5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39834" w14:textId="0DA026B7" w:rsidR="004F565C" w:rsidRPr="00AD247F" w:rsidRDefault="00AF5465" w:rsidP="00AF54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2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Предварительный национальный стандарт Российской Федерации. Интеллектуальные приборы учета электрической энергии. О</w:t>
            </w:r>
            <w:proofErr w:type="spellStart"/>
            <w:r w:rsidRPr="00AD2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бщие</w:t>
            </w:r>
            <w:proofErr w:type="spellEnd"/>
            <w:r w:rsidRPr="00AD2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AD2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требования</w:t>
            </w:r>
            <w:proofErr w:type="spellEnd"/>
            <w:r w:rsidRPr="00AD2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.</w:t>
            </w:r>
            <w:r w:rsidRPr="00AD2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AF5465" w14:paraId="6B13A67F" w14:textId="77777777" w:rsidTr="00AF5465">
        <w:trPr>
          <w:trHeight w:val="375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8C18A" w14:textId="3D56B6EB" w:rsidR="00AF5465" w:rsidRDefault="00AF5465" w:rsidP="00AF54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ПСД</w:t>
            </w:r>
          </w:p>
        </w:tc>
        <w:tc>
          <w:tcPr>
            <w:tcW w:w="5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588F3" w14:textId="12340271" w:rsidR="00AF5465" w:rsidRDefault="00AF5465" w:rsidP="00AF54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Проектно-сметная документация</w:t>
            </w:r>
          </w:p>
        </w:tc>
      </w:tr>
      <w:tr w:rsidR="00AF5465" w14:paraId="196868ED" w14:textId="77777777" w:rsidTr="00AF5465">
        <w:trPr>
          <w:trHeight w:val="375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73644" w14:textId="0D25EBD8" w:rsidR="00AF5465" w:rsidRDefault="00AF5465" w:rsidP="00AF54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ТТ</w:t>
            </w:r>
          </w:p>
        </w:tc>
        <w:tc>
          <w:tcPr>
            <w:tcW w:w="5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9D0B5" w14:textId="4FB71878" w:rsidR="00AF5465" w:rsidRDefault="00AF5465" w:rsidP="00AF54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Настоящие технические требования</w:t>
            </w:r>
          </w:p>
        </w:tc>
      </w:tr>
      <w:tr w:rsidR="00AF5465" w14:paraId="0241B58D" w14:textId="77777777" w:rsidTr="00AF5465">
        <w:trPr>
          <w:trHeight w:val="375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1C70E" w14:textId="3E3280D9" w:rsidR="00AF5465" w:rsidRDefault="00AF5465" w:rsidP="00AF54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ЦСОД</w:t>
            </w:r>
          </w:p>
        </w:tc>
        <w:tc>
          <w:tcPr>
            <w:tcW w:w="5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E0BA5" w14:textId="3285D9BA" w:rsidR="00AF5465" w:rsidRDefault="00AF5465" w:rsidP="00AF54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Централизованная система обработки данных</w:t>
            </w:r>
          </w:p>
        </w:tc>
      </w:tr>
    </w:tbl>
    <w:p w14:paraId="558E1647" w14:textId="77777777" w:rsidR="004F565C" w:rsidRDefault="004F565C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6F974E3" w14:textId="77777777" w:rsidR="004F565C" w:rsidRDefault="000A7F14">
      <w:pPr>
        <w:pStyle w:val="a5"/>
        <w:numPr>
          <w:ilvl w:val="0"/>
          <w:numId w:val="4"/>
        </w:numPr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b/>
          <w:color w:val="393A3A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393A3A"/>
          <w:sz w:val="26"/>
          <w:szCs w:val="26"/>
          <w:lang w:eastAsia="ru-RU"/>
        </w:rPr>
        <w:t xml:space="preserve">Цели и задачи </w:t>
      </w:r>
    </w:p>
    <w:p w14:paraId="6B061329" w14:textId="77777777" w:rsidR="004F565C" w:rsidRDefault="000A7F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>
        <w:rPr>
          <w:rFonts w:ascii="Times New Roman" w:hAnsi="Times New Roman" w:cs="Times New Roman"/>
          <w:sz w:val="26"/>
          <w:szCs w:val="26"/>
        </w:rPr>
        <w:tab/>
        <w:t xml:space="preserve">Оснащение интеллектуальными приборами учета электрической энергии и комплектующими собственников (владельцев) жилых помещений, общедомовых приборов учета, приборов учета для нежилых помещений в МКД, подключенных через инженерные сети МКД с последующей интеграцией данных приборов учета в модуль АИИСКУЭ облачной платформы </w:t>
      </w:r>
      <w:proofErr w:type="spellStart"/>
      <w:r>
        <w:rPr>
          <w:rFonts w:ascii="Times New Roman" w:hAnsi="Times New Roman" w:cs="Times New Roman"/>
          <w:sz w:val="26"/>
          <w:szCs w:val="26"/>
        </w:rPr>
        <w:t>энергоданных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Группы РусГидро, во исполнение Федерального закона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319FEE8" w14:textId="77777777" w:rsidR="004F565C" w:rsidRDefault="000A7F14">
      <w:pPr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>
        <w:rPr>
          <w:rFonts w:ascii="Times New Roman" w:hAnsi="Times New Roman" w:cs="Times New Roman"/>
          <w:sz w:val="26"/>
          <w:szCs w:val="26"/>
        </w:rPr>
        <w:tab/>
        <w:t>В соответствии с утвержденной в Группе РусГидро</w:t>
      </w:r>
      <w:r>
        <w:rPr>
          <w:rFonts w:ascii="Times New Roman" w:hAnsi="Times New Roman" w:cs="Times New Roman"/>
          <w:bCs/>
          <w:sz w:val="26"/>
          <w:szCs w:val="26"/>
        </w:rPr>
        <w:t xml:space="preserve"> концептуальной схемой исполнения требований Федерального закона от 27.12.2018 № 522–ФЗ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для Застройщиков МКД (Приложение №1) предусмотрены следующие варианты организации передачи данных с приборов учета до верхнего уровня облачной платформы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энергоданных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РусГидро:</w:t>
      </w:r>
    </w:p>
    <w:p w14:paraId="77550396" w14:textId="77777777" w:rsidR="004F565C" w:rsidRDefault="000A7F14">
      <w:pPr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1.2.1. С использованием встроенных в ПУ модулей связи 2G/3G/LTE/5G/NB-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IoT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в зависимости от территории и зоны покрытия. </w:t>
      </w:r>
    </w:p>
    <w:p w14:paraId="1377949F" w14:textId="77777777" w:rsidR="004F565C" w:rsidRDefault="000A7F14">
      <w:pPr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1.2.2. С использованием проводного интерфейса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RS</w:t>
      </w:r>
      <w:r>
        <w:rPr>
          <w:rFonts w:ascii="Times New Roman" w:hAnsi="Times New Roman" w:cs="Times New Roman"/>
          <w:bCs/>
          <w:sz w:val="26"/>
          <w:szCs w:val="26"/>
        </w:rPr>
        <w:t>-485 и шлюза, работающего в прозрачном режиме передачи данных.</w:t>
      </w:r>
    </w:p>
    <w:p w14:paraId="6D8D4671" w14:textId="77777777" w:rsidR="004F565C" w:rsidRDefault="000A7F14">
      <w:pPr>
        <w:pStyle w:val="a8"/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1.2.3. С использованием беспроводного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RF</w:t>
      </w:r>
      <w:r>
        <w:rPr>
          <w:rFonts w:ascii="Times New Roman" w:hAnsi="Times New Roman" w:cs="Times New Roman"/>
          <w:bCs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bCs/>
          <w:sz w:val="26"/>
          <w:szCs w:val="26"/>
          <w:lang w:val="en-US"/>
        </w:rPr>
        <w:t>Zigbee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) канала связи и шлюза, работающего в прозрачном режиме передачи данных.</w:t>
      </w:r>
    </w:p>
    <w:p w14:paraId="5FD43D1B" w14:textId="77777777" w:rsidR="000A7F14" w:rsidRDefault="000A7F14">
      <w:pPr>
        <w:pStyle w:val="a8"/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C392FEA" w14:textId="77777777" w:rsidR="000A7F14" w:rsidRDefault="000A7F14">
      <w:pPr>
        <w:pStyle w:val="a8"/>
        <w:tabs>
          <w:tab w:val="left" w:pos="0"/>
        </w:tabs>
        <w:spacing w:after="0"/>
        <w:ind w:firstLine="709"/>
        <w:jc w:val="both"/>
        <w:rPr>
          <w:sz w:val="26"/>
          <w:szCs w:val="26"/>
        </w:rPr>
      </w:pPr>
    </w:p>
    <w:p w14:paraId="68F00E8E" w14:textId="77777777" w:rsidR="004F565C" w:rsidRDefault="000A7F14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393A3A"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бщие требования по передаче данных в </w:t>
      </w:r>
      <w:r>
        <w:rPr>
          <w:rFonts w:ascii="Times New Roman" w:hAnsi="Times New Roman" w:cs="Times New Roman"/>
          <w:b/>
          <w:sz w:val="26"/>
          <w:szCs w:val="26"/>
        </w:rPr>
        <w:t xml:space="preserve">облачную платформу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энергоданных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Группы РусГидро</w:t>
      </w:r>
    </w:p>
    <w:p w14:paraId="5C6B42D0" w14:textId="77777777" w:rsidR="004F565C" w:rsidRDefault="000A7F14">
      <w:pPr>
        <w:pStyle w:val="a5"/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right="199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Общие требования к приборам учета </w:t>
      </w:r>
    </w:p>
    <w:p w14:paraId="19EF0E9D" w14:textId="69FDA026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Приборы учета электроэнергии должны соответствовать требованиям действующего законодательства в области коммерческого учета электроэнергии для </w:t>
      </w:r>
      <w:r w:rsidRPr="00AD247F">
        <w:rPr>
          <w:rFonts w:ascii="Times New Roman" w:hAnsi="Times New Roman" w:cs="Times New Roman"/>
          <w:sz w:val="26"/>
          <w:szCs w:val="26"/>
        </w:rPr>
        <w:t>индивидуальных и общедомовых приборов учета согласно ПП РФ №442</w:t>
      </w:r>
      <w:r w:rsidR="00AF5465" w:rsidRPr="00AD247F">
        <w:rPr>
          <w:rFonts w:ascii="Times New Roman" w:hAnsi="Times New Roman" w:cs="Times New Roman"/>
          <w:sz w:val="26"/>
          <w:szCs w:val="26"/>
        </w:rPr>
        <w:t xml:space="preserve"> и ПНСТ 896-2023</w:t>
      </w:r>
      <w:r w:rsidRPr="00AD247F">
        <w:rPr>
          <w:rFonts w:ascii="Times New Roman" w:hAnsi="Times New Roman" w:cs="Times New Roman"/>
          <w:sz w:val="26"/>
          <w:szCs w:val="26"/>
        </w:rPr>
        <w:t>.</w:t>
      </w:r>
    </w:p>
    <w:p w14:paraId="031069D7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Приборы учета электроэнергии должны соответствовать требованиям действующего законодательства в области минимального набора функций, указанных в ПП РФ №890 согласно Приложению №2 к Техническим требованиям.</w:t>
      </w:r>
    </w:p>
    <w:p w14:paraId="27B9178D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Приборы учета электроэнергии должны быть включены в реестр поддерживаемого программным комплексом «Пирамида 2.0» оборудования, реализованном в модуле АИИСКУЭ облачной платформы </w:t>
      </w:r>
      <w:proofErr w:type="spellStart"/>
      <w:r>
        <w:rPr>
          <w:rFonts w:ascii="Times New Roman" w:hAnsi="Times New Roman" w:cs="Times New Roman"/>
          <w:sz w:val="26"/>
          <w:szCs w:val="26"/>
        </w:rPr>
        <w:t>энергоданных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Группы РусГидро.</w:t>
      </w:r>
    </w:p>
    <w:p w14:paraId="02C949C8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Приборы учета должны иметь действующую первичную (заводскую) или периодическую поверку. Наличие действующей поверки подтверждается предоставлением оригиналов паспортов или свидетельств о поверке. </w:t>
      </w:r>
    </w:p>
    <w:p w14:paraId="7F2021B1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Использование приборов учета электроэнергии с импульсной передачей данных не допускается.</w:t>
      </w:r>
    </w:p>
    <w:p w14:paraId="0EB991AC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 интеллектуальные приборы учета электроэнергии должны быть запрограммированы на время региона в котором данные приборы учета устанавливаются</w:t>
      </w:r>
      <w:r>
        <w:rPr>
          <w:rFonts w:ascii="Times New Roman" w:hAnsi="Times New Roman" w:cs="Times New Roman"/>
          <w:strike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без сезонного перевода времени. Все приборы учета должны быть настроены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однотарифный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режим учета, при этом должна быть обеспечена возможность дальнейшего перепрограммирования на зонные </w:t>
      </w:r>
      <w:proofErr w:type="gramStart"/>
      <w:r>
        <w:rPr>
          <w:rFonts w:ascii="Times New Roman" w:hAnsi="Times New Roman" w:cs="Times New Roman"/>
          <w:sz w:val="26"/>
          <w:szCs w:val="26"/>
        </w:rPr>
        <w:t>тарифы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утвержденные и действующие в регионе, в котором данные приборы учета устанавливаются.</w:t>
      </w:r>
    </w:p>
    <w:p w14:paraId="00161C2D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Параметр «номинальное напряжение», используемый для анализа качества электроэнергии в приборах учета должен быть установлен на значение 220В для 1ф. ПУ и 380 В для 3ф. ПУ прямого включения</w:t>
      </w:r>
      <w:proofErr w:type="gramStart"/>
      <w:r>
        <w:rPr>
          <w:rFonts w:ascii="Times New Roman" w:hAnsi="Times New Roman" w:cs="Times New Roman"/>
          <w:sz w:val="26"/>
          <w:szCs w:val="26"/>
        </w:rPr>
        <w:t>..</w:t>
      </w:r>
      <w:proofErr w:type="gramEnd"/>
    </w:p>
    <w:p w14:paraId="6B438FA9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Приборы учета электроэнергии не должны нуждаться в дополнительном программировании и конфигурировании перед установкой, за исключением технологий, предусматривающих программирование и конфигурирование по месту установки.</w:t>
      </w:r>
    </w:p>
    <w:p w14:paraId="19EB31C5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приборов учета, имеющих оптический порт или любой другой цифровой интерфейс, который доступен потребителю для чтения показаний, должно быть реализовано разграничение по уровням доступа. Пароль на чтение и перепрограммирование – общий для всех приборов учета электроэнергии. </w:t>
      </w:r>
    </w:p>
    <w:p w14:paraId="6EE11EEA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Приборы учета электроэнергии не должны нуждаться в дополнительном электропитании для выполнения всех своих функций, в том числе, и для встроенных модулей передачи данных и цифровых интерфейсов.</w:t>
      </w:r>
    </w:p>
    <w:p w14:paraId="4D6BFABB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Приборы учета должны поддерживать режим передачи срочных событий, при которых инициатором передачи является прибор учета на верхний уровень.</w:t>
      </w:r>
    </w:p>
    <w:p w14:paraId="427EBE5C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Приборы учета электроэнергии должны быть оснащены ЖКИ – дисплеем для просмотра показаний, в том числе и по зонным тарифам.</w:t>
      </w:r>
    </w:p>
    <w:p w14:paraId="1359B4E1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Все приборы учета электроэнергии должны сохранять в энергонезависимой памяти:</w:t>
      </w:r>
    </w:p>
    <w:p w14:paraId="737CCCF7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показания общие и по зонам суток на начало текущего и предыдущего дня;</w:t>
      </w:r>
    </w:p>
    <w:p w14:paraId="15D00689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показания общие и по зонам суток на начало каждого месяца на глубину не менее 36 (тридцати шести) месяцев от текущей даты;</w:t>
      </w:r>
    </w:p>
    <w:p w14:paraId="68977156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часовые графики нагрузки на глубину не менее 90 (девяносто) суток.</w:t>
      </w:r>
    </w:p>
    <w:p w14:paraId="14E3D998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Диапазон рабочих температур выбираемого ИПУ должен соответствовать условиям его эксплуатации, но, как правило, не должен быть хуже – 40 до +50 С.</w:t>
      </w:r>
    </w:p>
    <w:p w14:paraId="041F5E89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Оборудование должно включать однофазные и трехфазные (прямого или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полукосвенного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включения)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приборы учета электроэнергии</w:t>
      </w:r>
      <w:r>
        <w:rPr>
          <w:rFonts w:ascii="Times New Roman" w:hAnsi="Times New Roman" w:cs="Times New Roman"/>
          <w:sz w:val="26"/>
          <w:szCs w:val="26"/>
        </w:rPr>
        <w:t xml:space="preserve">, трансформаторы тока, приемо-передающее оборудование для информационного обмена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приборов учета электроэнергии</w:t>
      </w:r>
      <w:r>
        <w:rPr>
          <w:rFonts w:ascii="Times New Roman" w:hAnsi="Times New Roman" w:cs="Times New Roman"/>
          <w:sz w:val="26"/>
          <w:szCs w:val="26"/>
        </w:rPr>
        <w:t xml:space="preserve"> и информационного обмена с модулем АИИСКУЭ облачной платформы </w:t>
      </w:r>
      <w:proofErr w:type="spellStart"/>
      <w:r>
        <w:rPr>
          <w:rFonts w:ascii="Times New Roman" w:hAnsi="Times New Roman" w:cs="Times New Roman"/>
          <w:sz w:val="26"/>
          <w:szCs w:val="26"/>
        </w:rPr>
        <w:t>энергоданных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Группы РусГидро. </w:t>
      </w:r>
    </w:p>
    <w:p w14:paraId="427A57BB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Интеллектуальные однофазные и трехфазные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приборы учета электроэнергии</w:t>
      </w:r>
      <w:r>
        <w:rPr>
          <w:rFonts w:ascii="Times New Roman" w:hAnsi="Times New Roman" w:cs="Times New Roman"/>
          <w:sz w:val="26"/>
          <w:szCs w:val="26"/>
        </w:rPr>
        <w:t xml:space="preserve"> (прямого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полукосвенного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включения) со встроенными модулями передачи данных 2G/3G/LTE/5G/NB-</w:t>
      </w:r>
      <w:proofErr w:type="spellStart"/>
      <w:r>
        <w:rPr>
          <w:rFonts w:ascii="Times New Roman" w:hAnsi="Times New Roman" w:cs="Times New Roman"/>
          <w:sz w:val="26"/>
          <w:szCs w:val="26"/>
        </w:rPr>
        <w:t>IoT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(в соответствии с п.1.2.1.) . должны обеспечивать возможность использования стандартных SIM карт (</w:t>
      </w:r>
      <w:proofErr w:type="spellStart"/>
      <w:r>
        <w:rPr>
          <w:rFonts w:ascii="Times New Roman" w:hAnsi="Times New Roman" w:cs="Times New Roman"/>
          <w:sz w:val="26"/>
          <w:szCs w:val="26"/>
        </w:rPr>
        <w:t>mini</w:t>
      </w:r>
      <w:proofErr w:type="spellEnd"/>
      <w:r>
        <w:rPr>
          <w:rFonts w:ascii="Times New Roman" w:hAnsi="Times New Roman" w:cs="Times New Roman"/>
          <w:sz w:val="26"/>
          <w:szCs w:val="26"/>
        </w:rPr>
        <w:t>-SIM (2FF) любого оператора связи.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Режим работы модуля </w:t>
      </w:r>
      <w:r>
        <w:rPr>
          <w:rFonts w:ascii="Times New Roman" w:hAnsi="Times New Roman" w:cs="Times New Roman"/>
          <w:sz w:val="26"/>
          <w:szCs w:val="26"/>
          <w:lang w:val="en-US"/>
        </w:rPr>
        <w:t>TCP</w:t>
      </w:r>
      <w:r>
        <w:rPr>
          <w:rFonts w:ascii="Times New Roman" w:hAnsi="Times New Roman" w:cs="Times New Roman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  <w:lang w:val="en-US"/>
        </w:rPr>
        <w:t>IP</w:t>
      </w:r>
      <w:r>
        <w:rPr>
          <w:rFonts w:ascii="Times New Roman" w:hAnsi="Times New Roman" w:cs="Times New Roman"/>
          <w:sz w:val="26"/>
          <w:szCs w:val="26"/>
        </w:rPr>
        <w:t xml:space="preserve"> сервер,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без использования промежуточного программного обеспечения и другого связного оборудования. Модули связи должны быть интегрированы в корпус прибора учета электроэнергии. SIM-карты или иные материальные носители и идентификаторы должны размещаться внутри корпуса с защитой от изъятия. Приборы учета электроэнергии должны поставляться в комплекте с антенной.</w:t>
      </w:r>
    </w:p>
    <w:p w14:paraId="6A846FFB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Интеллектуальные приборы учета электроэнергии (прямого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полукосвенного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включения, косвенного включения) для установки в щитке/ВРУ с передачей данных по RS-485 (в соответствии с п. 1.2.2.). должны иметь возможность работать напрямую с программным обеспечением Пирамида 2.0 верхнего уровня ИСУ через коммуникационный шлюз (модем). Шлюз (модем) должен обеспечивать возможность использования стандартных SIM карт (</w:t>
      </w:r>
      <w:proofErr w:type="spellStart"/>
      <w:r>
        <w:rPr>
          <w:rFonts w:ascii="Times New Roman" w:hAnsi="Times New Roman" w:cs="Times New Roman"/>
          <w:sz w:val="26"/>
          <w:szCs w:val="26"/>
        </w:rPr>
        <w:t>mini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-SIM (2FF) любого оператора связи. Режим работы шлюза (модема) </w:t>
      </w:r>
      <w:r>
        <w:rPr>
          <w:rFonts w:ascii="Times New Roman" w:hAnsi="Times New Roman" w:cs="Times New Roman"/>
          <w:sz w:val="26"/>
          <w:szCs w:val="26"/>
          <w:lang w:val="en-US"/>
        </w:rPr>
        <w:t>TCP</w:t>
      </w:r>
      <w:r>
        <w:rPr>
          <w:rFonts w:ascii="Times New Roman" w:hAnsi="Times New Roman" w:cs="Times New Roman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  <w:lang w:val="en-US"/>
        </w:rPr>
        <w:t>IP</w:t>
      </w:r>
      <w:r>
        <w:rPr>
          <w:rFonts w:ascii="Times New Roman" w:hAnsi="Times New Roman" w:cs="Times New Roman"/>
          <w:sz w:val="26"/>
          <w:szCs w:val="26"/>
        </w:rPr>
        <w:t xml:space="preserve"> сервер, без использования промежуточного программного обеспечения. </w:t>
      </w:r>
    </w:p>
    <w:p w14:paraId="75C8E239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Интеллектуальные приборы учета электроэнергии (прямого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полукосвенного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включения, косвенного включения) с </w:t>
      </w:r>
      <w:r>
        <w:rPr>
          <w:rFonts w:ascii="Times New Roman" w:hAnsi="Times New Roman" w:cs="Times New Roman"/>
          <w:sz w:val="26"/>
          <w:szCs w:val="26"/>
          <w:lang w:val="en-US"/>
        </w:rPr>
        <w:t>RF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Zigbee</w:t>
      </w:r>
      <w:proofErr w:type="spellEnd"/>
      <w:r>
        <w:rPr>
          <w:rFonts w:ascii="Times New Roman" w:hAnsi="Times New Roman" w:cs="Times New Roman"/>
          <w:sz w:val="26"/>
          <w:szCs w:val="26"/>
        </w:rPr>
        <w:t>) модулям передачи данных (в соответствии с п.1.2.3.) должны работать напрямую с программным обеспечением Пирамида 2.0 верхнего уровня ИСУ через коммуникационный шлюз (модем). Шлюз (модем) должен обеспечивать возможность использования стандартных SIM карт (</w:t>
      </w:r>
      <w:proofErr w:type="spellStart"/>
      <w:r>
        <w:rPr>
          <w:rFonts w:ascii="Times New Roman" w:hAnsi="Times New Roman" w:cs="Times New Roman"/>
          <w:sz w:val="26"/>
          <w:szCs w:val="26"/>
        </w:rPr>
        <w:t>mini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-SIM (2FF) любого оператора связи. Режим работы шлюза (модема) TCP/IP сервер, без использования промежуточного программного обеспечения. Допускается в качестве шлюза использовать прибор учета. Каждый прибор учета с </w:t>
      </w:r>
      <w:r>
        <w:rPr>
          <w:rFonts w:ascii="Times New Roman" w:hAnsi="Times New Roman" w:cs="Times New Roman"/>
          <w:sz w:val="26"/>
          <w:szCs w:val="26"/>
          <w:lang w:val="en-US"/>
        </w:rPr>
        <w:t>RF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Zigbee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модулем должен являться ретранслятором сигнала, а приборы учета должны образовывать </w:t>
      </w:r>
      <w:r>
        <w:rPr>
          <w:rFonts w:ascii="Times New Roman" w:hAnsi="Times New Roman" w:cs="Times New Roman"/>
          <w:sz w:val="26"/>
          <w:szCs w:val="26"/>
          <w:lang w:val="en-US"/>
        </w:rPr>
        <w:t>Mesh</w:t>
      </w:r>
      <w:r>
        <w:rPr>
          <w:rFonts w:ascii="Times New Roman" w:hAnsi="Times New Roman" w:cs="Times New Roman"/>
          <w:sz w:val="26"/>
          <w:szCs w:val="26"/>
        </w:rPr>
        <w:t xml:space="preserve"> сеть. </w:t>
      </w:r>
    </w:p>
    <w:p w14:paraId="369B9015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Трехфазные приборы учета электроэнергии </w:t>
      </w:r>
      <w:proofErr w:type="spellStart"/>
      <w:r>
        <w:rPr>
          <w:rFonts w:ascii="Times New Roman" w:hAnsi="Times New Roman"/>
          <w:sz w:val="26"/>
          <w:szCs w:val="26"/>
        </w:rPr>
        <w:t>полукосвенного</w:t>
      </w:r>
      <w:proofErr w:type="spellEnd"/>
      <w:r>
        <w:rPr>
          <w:rFonts w:ascii="Times New Roman" w:hAnsi="Times New Roman"/>
          <w:sz w:val="26"/>
          <w:szCs w:val="26"/>
        </w:rPr>
        <w:t xml:space="preserve"> включения должны быть присоединены к трансформаторам тока через испытательную коробку. Крышка испытательной коробки должна обеспечивать возможность опломбирования.</w:t>
      </w:r>
    </w:p>
    <w:p w14:paraId="08F33459" w14:textId="66ACC81B" w:rsidR="004F565C" w:rsidRDefault="004F565C">
      <w:pPr>
        <w:pStyle w:val="a5"/>
        <w:widowControl w:val="0"/>
        <w:tabs>
          <w:tab w:val="left" w:pos="0"/>
        </w:tabs>
        <w:spacing w:after="0" w:line="240" w:lineRule="auto"/>
        <w:ind w:left="0" w:right="199" w:firstLine="709"/>
        <w:contextualSpacing w:val="0"/>
        <w:jc w:val="both"/>
        <w:rPr>
          <w:rFonts w:ascii="Times New Roman" w:hAnsi="Times New Roman"/>
          <w:sz w:val="26"/>
          <w:szCs w:val="26"/>
        </w:rPr>
      </w:pPr>
    </w:p>
    <w:p w14:paraId="0D858F73" w14:textId="61C419BB" w:rsidR="007A207D" w:rsidRDefault="007A207D">
      <w:pPr>
        <w:pStyle w:val="a5"/>
        <w:widowControl w:val="0"/>
        <w:tabs>
          <w:tab w:val="left" w:pos="0"/>
        </w:tabs>
        <w:spacing w:after="0" w:line="240" w:lineRule="auto"/>
        <w:ind w:left="0" w:right="199" w:firstLine="709"/>
        <w:contextualSpacing w:val="0"/>
        <w:jc w:val="both"/>
        <w:rPr>
          <w:rFonts w:ascii="Times New Roman" w:hAnsi="Times New Roman"/>
          <w:sz w:val="26"/>
          <w:szCs w:val="26"/>
        </w:rPr>
      </w:pPr>
    </w:p>
    <w:p w14:paraId="3B1C05EF" w14:textId="77777777" w:rsidR="007A207D" w:rsidRDefault="007A207D">
      <w:pPr>
        <w:pStyle w:val="a5"/>
        <w:widowControl w:val="0"/>
        <w:tabs>
          <w:tab w:val="left" w:pos="0"/>
        </w:tabs>
        <w:spacing w:after="0" w:line="240" w:lineRule="auto"/>
        <w:ind w:left="0" w:right="199" w:firstLine="709"/>
        <w:contextualSpacing w:val="0"/>
        <w:jc w:val="both"/>
        <w:rPr>
          <w:rFonts w:ascii="Times New Roman" w:hAnsi="Times New Roman"/>
          <w:sz w:val="26"/>
          <w:szCs w:val="26"/>
        </w:rPr>
      </w:pPr>
    </w:p>
    <w:p w14:paraId="752BEF14" w14:textId="77777777" w:rsidR="004F565C" w:rsidRDefault="004F565C">
      <w:pPr>
        <w:widowControl w:val="0"/>
        <w:tabs>
          <w:tab w:val="left" w:pos="0"/>
        </w:tabs>
        <w:spacing w:after="0" w:line="240" w:lineRule="auto"/>
        <w:ind w:right="199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17FCDAC" w14:textId="77777777" w:rsidR="004F565C" w:rsidRDefault="000A7F14">
      <w:pPr>
        <w:pStyle w:val="a5"/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right="199" w:firstLine="709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Общие требования к трансформаторам тока</w:t>
      </w:r>
    </w:p>
    <w:p w14:paraId="0F021F9F" w14:textId="77777777" w:rsidR="004F565C" w:rsidRDefault="000A7F14">
      <w:pPr>
        <w:pStyle w:val="a5"/>
        <w:numPr>
          <w:ilvl w:val="2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новом строительстве или реконструкции электроустановок измерительные трансформаторы тока (ТТ) должны соответствовать следующим требованиям.</w:t>
      </w:r>
    </w:p>
    <w:p w14:paraId="5F83CBF6" w14:textId="77777777" w:rsidR="004F565C" w:rsidRDefault="000A7F14">
      <w:pPr>
        <w:pStyle w:val="a5"/>
        <w:numPr>
          <w:ilvl w:val="2"/>
          <w:numId w:val="2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 точности –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не хуже 0,5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E3474DB" w14:textId="77777777" w:rsidR="004F565C" w:rsidRDefault="000A7F14">
      <w:pPr>
        <w:pStyle w:val="a5"/>
        <w:numPr>
          <w:ilvl w:val="2"/>
          <w:numId w:val="2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полукосвенном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косвенном включении ПУ необходимо устанавливать трансформаторы тока во всех фазах.</w:t>
      </w:r>
    </w:p>
    <w:p w14:paraId="1D73E342" w14:textId="77777777" w:rsidR="004F565C" w:rsidRDefault="000A7F14">
      <w:pPr>
        <w:pStyle w:val="a5"/>
        <w:numPr>
          <w:ilvl w:val="2"/>
          <w:numId w:val="2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Значения номинального вторичного тока должны быть увязаны с номинальными токами приборов учёта.</w:t>
      </w:r>
    </w:p>
    <w:p w14:paraId="01E20B76" w14:textId="77777777" w:rsidR="004F565C" w:rsidRDefault="000A7F14">
      <w:pPr>
        <w:pStyle w:val="a5"/>
        <w:numPr>
          <w:ilvl w:val="2"/>
          <w:numId w:val="2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Трансформаторы тока, используемые для присоединения счётчиков на напряжении до 0,4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должны устанавливаться после коммутационных аппаратов по направлению потока мощности (ПУЭ пункт 1.5.36).</w:t>
      </w:r>
    </w:p>
    <w:p w14:paraId="57DE4EFC" w14:textId="77777777" w:rsidR="004F565C" w:rsidRDefault="000A7F14">
      <w:pPr>
        <w:pStyle w:val="a5"/>
        <w:numPr>
          <w:ilvl w:val="2"/>
          <w:numId w:val="2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Выводы вторичной измерительной обмотки трансформаторов тока должны иметь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крышки для опломбировки</w:t>
      </w: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(ПТЭЭП пункт 2.11.18).</w:t>
      </w:r>
    </w:p>
    <w:p w14:paraId="0688FE55" w14:textId="77777777" w:rsidR="004F565C" w:rsidRDefault="000A7F14">
      <w:pPr>
        <w:pStyle w:val="a5"/>
        <w:numPr>
          <w:ilvl w:val="2"/>
          <w:numId w:val="2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обеспечения безопасности работ, проводимых в цепях измерительных приборов, устройств релейной защиты 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электроавтоматики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вторичные цепи (обмотки) измерительных трансформаторов тока должны иметь постоянные заземления. (Правила по охране труда при эксплуатации электроустановок пункт 42.1).</w:t>
      </w:r>
    </w:p>
    <w:p w14:paraId="5091B2C2" w14:textId="77777777" w:rsidR="004F565C" w:rsidRDefault="000A7F14">
      <w:pPr>
        <w:pStyle w:val="a5"/>
        <w:numPr>
          <w:ilvl w:val="2"/>
          <w:numId w:val="2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Заземление во вторичных цепях трансформаторов тока следует предусматривать на зажимах трансформаторов тока (ПУЭ пункт 3.4.23).</w:t>
      </w:r>
    </w:p>
    <w:p w14:paraId="008398F1" w14:textId="77777777" w:rsidR="004F565C" w:rsidRDefault="000A7F14">
      <w:pPr>
        <w:pStyle w:val="a5"/>
        <w:numPr>
          <w:ilvl w:val="2"/>
          <w:numId w:val="2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Трансформатор тока должен иметь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действующую поверку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первичную (заводскую) или периодическую (в соответствии с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межповерочным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интервалом, указанным в описании типа данного средства измерения). Наличие действующей поверки подтверждается предоставлением оригиналов паспортов или свидетельств о поверке ТТ с протоколами поверки (ПТЭЭП 2.11.11).</w:t>
      </w:r>
    </w:p>
    <w:p w14:paraId="538F0E92" w14:textId="77777777" w:rsidR="004F565C" w:rsidRDefault="000A7F14">
      <w:pPr>
        <w:pStyle w:val="a5"/>
        <w:numPr>
          <w:ilvl w:val="2"/>
          <w:numId w:val="2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защиты от несанкционированного доступа электроизмерительных приборов, коммутационных аппаратов и разъемных соединений электрических цепей в цепях учета должно производиться их маркирование специальными знаками визуального контроля в соответствии с установленными требованиями (ПТЭЭП 2.11.18).</w:t>
      </w:r>
    </w:p>
    <w:p w14:paraId="322ED9A6" w14:textId="77777777" w:rsidR="004F565C" w:rsidRDefault="000A7F14">
      <w:pPr>
        <w:pStyle w:val="a5"/>
        <w:numPr>
          <w:ilvl w:val="2"/>
          <w:numId w:val="2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Трансформаторы тока должны соответствовать требованиям действующего ГОСТ 7746-2015. «Трансформаторы тока. Общие технические условия».</w:t>
      </w:r>
    </w:p>
    <w:p w14:paraId="4A6075BE" w14:textId="77777777" w:rsidR="004F565C" w:rsidRDefault="004F565C">
      <w:pPr>
        <w:pStyle w:val="a5"/>
        <w:widowControl w:val="0"/>
        <w:tabs>
          <w:tab w:val="left" w:pos="0"/>
        </w:tabs>
        <w:spacing w:after="0" w:line="240" w:lineRule="auto"/>
        <w:ind w:left="0" w:right="199" w:firstLine="709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191DBF4" w14:textId="77777777" w:rsidR="004F565C" w:rsidRDefault="004F565C">
      <w:pPr>
        <w:pStyle w:val="a5"/>
        <w:widowControl w:val="0"/>
        <w:tabs>
          <w:tab w:val="left" w:pos="0"/>
        </w:tabs>
        <w:spacing w:after="0" w:line="240" w:lineRule="auto"/>
        <w:ind w:left="0" w:right="199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03B008FE" w14:textId="77777777" w:rsidR="004F565C" w:rsidRDefault="000A7F14">
      <w:pPr>
        <w:pStyle w:val="a5"/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right="199" w:firstLine="709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Описание интеллектуальной системы учета</w:t>
      </w:r>
    </w:p>
    <w:p w14:paraId="1355BABD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Интеллектуальная система учета электрической энергии мощности (ИСУ) -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</w:t>
      </w: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 (Федеральный закон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Федерации».</w:t>
      </w:r>
    </w:p>
    <w:p w14:paraId="5AE99C8E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Все оборудование должно сопровождаться бесплатным технологическим программным обеспечением для конфигурирования и просмотра данных. Возможности данного программного обеспечения должно быть достаточно для проведения всех необходимых пусконаладочных работ при интеграции приборов учёта в модуль АИИСКУЭ облачной платформы </w:t>
      </w:r>
      <w:proofErr w:type="spellStart"/>
      <w:r>
        <w:rPr>
          <w:rFonts w:ascii="Times New Roman" w:hAnsi="Times New Roman" w:cs="Times New Roman"/>
          <w:sz w:val="26"/>
          <w:szCs w:val="26"/>
        </w:rPr>
        <w:t>энергоданных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Группы РусГидро силами Застройщика</w:t>
      </w:r>
      <w:r w:rsidRPr="000A7F14">
        <w:rPr>
          <w:rFonts w:ascii="Times New Roman" w:hAnsi="Times New Roman" w:cs="Times New Roman"/>
          <w:sz w:val="26"/>
          <w:szCs w:val="26"/>
        </w:rPr>
        <w:t>.</w:t>
      </w:r>
    </w:p>
    <w:p w14:paraId="47E63EE7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ГП передает Застройщику сим-карты для их установки в ПУ и в другом связном оборудовании, а также все необходимые настройки </w:t>
      </w:r>
      <w:r>
        <w:rPr>
          <w:rFonts w:ascii="Times New Roman" w:hAnsi="Times New Roman" w:cs="Times New Roman"/>
          <w:sz w:val="26"/>
          <w:szCs w:val="26"/>
          <w:lang w:val="en-US"/>
        </w:rPr>
        <w:t>APN</w:t>
      </w:r>
      <w:r>
        <w:rPr>
          <w:rFonts w:ascii="Times New Roman" w:hAnsi="Times New Roman" w:cs="Times New Roman"/>
          <w:sz w:val="26"/>
          <w:szCs w:val="26"/>
        </w:rPr>
        <w:t xml:space="preserve"> для выполнения необходимых пусконаладочных работ со стороны Застройщика.</w:t>
      </w:r>
    </w:p>
    <w:p w14:paraId="6708083F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 программное обеспечение, предоставляемое безвозмездно, не должно иметь ограничений по сроку использования, количеству возможных установок, обновлений программного обеспечения и лицензий или иных ограничений, при условии его использования ГП для собственных нужд.</w:t>
      </w:r>
    </w:p>
    <w:p w14:paraId="3A313B0B" w14:textId="77777777" w:rsidR="004F565C" w:rsidRDefault="000A7F14">
      <w:pPr>
        <w:pStyle w:val="a5"/>
        <w:widowControl w:val="0"/>
        <w:numPr>
          <w:ilvl w:val="2"/>
          <w:numId w:val="2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Приборы учёта и оборудование ИСУ, по окончанию проведения монтажных и пусконаладочных работ Застройщиком не должны нуждаться в дополнительном программировании и конфигурировании, и в соответствии с документацией и рекомендациями производителей, должно реализовывать следующие функции:</w:t>
      </w:r>
    </w:p>
    <w:p w14:paraId="0DB2ECE4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-ежесуточная автоматическая передача показаний приборов учета электроэнергии с разбиением по тарифным зонам с надежностью не менее 95%;</w:t>
      </w:r>
    </w:p>
    <w:p w14:paraId="24369CC7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-автоматическая передача получасовых графиков нагрузки из энергонезависимой памяти приборов учета электроэнергии не реже одного раза в неделю;</w:t>
      </w:r>
    </w:p>
    <w:p w14:paraId="5E294FBD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возможность дистанционного сбора показаний и графиков нагрузки с уровня ЦСОД за произвольный период в пределах глубины хранения данных в энергонезависимой памяти приборов учета электроэнергии по команде оператора;</w:t>
      </w:r>
    </w:p>
    <w:p w14:paraId="71E4F081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дистанционное отключение и подключение энергии посредством встроенного реле по команде модуля АИИСКУЭ облачной платформы </w:t>
      </w:r>
      <w:proofErr w:type="spellStart"/>
      <w:r>
        <w:rPr>
          <w:rFonts w:ascii="Times New Roman" w:hAnsi="Times New Roman" w:cs="Times New Roman"/>
          <w:sz w:val="26"/>
          <w:szCs w:val="26"/>
        </w:rPr>
        <w:t>энергоданных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РусГидро, кроме приборов учета электроэнергии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полукосвенного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включения или косвенного включения;</w:t>
      </w:r>
    </w:p>
    <w:p w14:paraId="76EB85D0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дистанционная установка и автоматическая синхронизация системной даты и времени прибора учета электроэнергии;</w:t>
      </w:r>
    </w:p>
    <w:p w14:paraId="44796DA1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возможность дистанционного программирования расписания зонных тарифов;</w:t>
      </w:r>
    </w:p>
    <w:p w14:paraId="016F9714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накопление собранной информации в энергонезависимой памяти и передача собранной информации по запросу на верхний уровень информационно-измерительной системы;</w:t>
      </w:r>
    </w:p>
    <w:p w14:paraId="310388B9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контроль и синхронизация текущего времени в приборах учета электроэнергии с цифровым интерфейсом;</w:t>
      </w:r>
    </w:p>
    <w:p w14:paraId="6FA0EC5C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управление изменяемыми параметрами приборов учета электроэнергии с цифровым интерфейсом (запись лимитов потребления, тарифных расписаний);</w:t>
      </w:r>
    </w:p>
    <w:p w14:paraId="0B9871E2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управление нагрузкой приборов учета электроэнергии с цифровым </w:t>
      </w:r>
      <w:r>
        <w:rPr>
          <w:rFonts w:ascii="Times New Roman" w:hAnsi="Times New Roman" w:cs="Times New Roman"/>
          <w:sz w:val="26"/>
          <w:szCs w:val="26"/>
        </w:rPr>
        <w:lastRenderedPageBreak/>
        <w:t>интерфейсом;</w:t>
      </w:r>
    </w:p>
    <w:p w14:paraId="7255AEE9" w14:textId="77777777" w:rsidR="004F565C" w:rsidRDefault="000A7F14">
      <w:pPr>
        <w:pStyle w:val="a5"/>
        <w:widowControl w:val="0"/>
        <w:tabs>
          <w:tab w:val="left" w:pos="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обеспечение прямого доступа к приборам учета электроэнергии с цифровым интерфейсом с верхних уровней информационно-измерительной системы.</w:t>
      </w:r>
    </w:p>
    <w:p w14:paraId="5C24093E" w14:textId="77777777" w:rsidR="004F565C" w:rsidRDefault="004F565C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highlight w:val="green"/>
        </w:rPr>
      </w:pPr>
    </w:p>
    <w:p w14:paraId="6D837F3D" w14:textId="77777777" w:rsidR="004F565C" w:rsidRDefault="004F565C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highlight w:val="green"/>
        </w:rPr>
      </w:pPr>
    </w:p>
    <w:p w14:paraId="68B540B1" w14:textId="77777777" w:rsidR="004F565C" w:rsidRDefault="000A7F14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outlineLvl w:val="1"/>
        <w:rPr>
          <w:rStyle w:val="blk"/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Порядок </w:t>
      </w:r>
      <w:r>
        <w:rPr>
          <w:rStyle w:val="blk"/>
          <w:rFonts w:ascii="Times New Roman" w:hAnsi="Times New Roman" w:cs="Times New Roman"/>
          <w:b/>
          <w:sz w:val="26"/>
          <w:szCs w:val="26"/>
        </w:rPr>
        <w:t>оснащения индивидуальными, общими (для коммунальной квартиры) и коллективными (общедомовыми) приборами учета электрической энергии</w:t>
      </w:r>
    </w:p>
    <w:p w14:paraId="0C7FB81F" w14:textId="77777777" w:rsidR="004F565C" w:rsidRDefault="000A7F14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Geneva" w:hAnsi="Times New Roman" w:cs="Times New Roman"/>
          <w:b/>
          <w:sz w:val="26"/>
          <w:szCs w:val="26"/>
        </w:rPr>
      </w:pPr>
      <w:r>
        <w:rPr>
          <w:rFonts w:ascii="Times New Roman" w:eastAsia="Geneva" w:hAnsi="Times New Roman" w:cs="Times New Roman"/>
          <w:b/>
          <w:sz w:val="26"/>
          <w:szCs w:val="26"/>
        </w:rPr>
        <w:t>Основные этапы выполнения работ и требования к Застройщику</w:t>
      </w:r>
    </w:p>
    <w:p w14:paraId="1AC72D5E" w14:textId="77777777" w:rsidR="004F565C" w:rsidRDefault="000A7F14">
      <w:pPr>
        <w:pStyle w:val="a5"/>
        <w:numPr>
          <w:ilvl w:val="2"/>
          <w:numId w:val="9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>Разработка проектной документации на ИСУ МКД. Проектно-сметная документация должна осуществляться с учетом настоящих технических требований (далее -ТТ).</w:t>
      </w:r>
    </w:p>
    <w:p w14:paraId="66243A26" w14:textId="77777777" w:rsidR="004F565C" w:rsidRDefault="000A7F14">
      <w:pPr>
        <w:pStyle w:val="a5"/>
        <w:numPr>
          <w:ilvl w:val="2"/>
          <w:numId w:val="9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МКД, разрешение на строительство которых выдано после 1 января 2021 г., должны быть по окончании строительства оснащены застройщиком индивидуальными (для коммунальной квартиры - общими (квартирными) приборами учета электрической энергии в жилых и нежилых помещениях МКД, электроснабжение которых осуществляется с использованием общего имущества, коллективными (общедомовыми) приборами учета и иным оборудованием, которое указано в пункте 137 настоящего документа, используется для коммерческого учета электрической энергии (мощности) и обеспечивает возможность его присоединения к интеллектуальным системам учета электрической энергии (мощности) гарантирующего поставщика в соответствии с требованиями, установленными правилами предоставления доступа к минимальному набору функций интеллектуальных систем учета электрической энергии (мощности).</w:t>
      </w:r>
    </w:p>
    <w:p w14:paraId="16D7BD31" w14:textId="77777777" w:rsidR="004F565C" w:rsidRDefault="000A7F14">
      <w:pPr>
        <w:pStyle w:val="a5"/>
        <w:numPr>
          <w:ilvl w:val="2"/>
          <w:numId w:val="9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1 января 2021 г. индивидуальные, общие (квартирные) и коллективные (общедомовые) приборы учета электрической энергии (измерительные трансформаторы) должны быть допущены к эксплуатации гарантирующим поставщиком, а также такие приборы учета должны быть переданы застройщиком в эксплуатацию гарантирующему поставщику, в зоне деятельности которого расположен МКД, до введения такого МКД в эксплуатацию в порядке, установленном настоящим документом.</w:t>
      </w:r>
    </w:p>
    <w:p w14:paraId="6D81BE2A" w14:textId="2B1E5337" w:rsidR="004F565C" w:rsidRDefault="000A7F14">
      <w:pPr>
        <w:pStyle w:val="a5"/>
        <w:numPr>
          <w:ilvl w:val="2"/>
          <w:numId w:val="9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Geneva" w:hAnsi="Times New Roman" w:cs="Times New Roman"/>
          <w:sz w:val="26"/>
          <w:szCs w:val="26"/>
        </w:rPr>
        <w:t xml:space="preserve">Застройщик </w:t>
      </w:r>
      <w:r w:rsidR="00101210" w:rsidRPr="00101210">
        <w:rPr>
          <w:rFonts w:ascii="Times New Roman" w:eastAsia="Geneva" w:hAnsi="Times New Roman" w:cs="Times New Roman"/>
          <w:sz w:val="26"/>
          <w:szCs w:val="26"/>
        </w:rPr>
        <w:t>обязан</w:t>
      </w:r>
      <w:r>
        <w:rPr>
          <w:rFonts w:ascii="Times New Roman" w:eastAsia="Geneva" w:hAnsi="Times New Roman" w:cs="Times New Roman"/>
          <w:sz w:val="26"/>
          <w:szCs w:val="26"/>
        </w:rPr>
        <w:t xml:space="preserve"> согласовать выбранные им инженерно-технические решения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Geneva" w:hAnsi="Times New Roman" w:cs="Times New Roman"/>
          <w:sz w:val="26"/>
          <w:szCs w:val="26"/>
        </w:rPr>
        <w:t>включая приборы учета, измерительные трансформаторы, а также один из способов присоединения приборов учета к интеллектуальной системе учета электрической энергии гарантирующего поставщика, указанных в п.1.2 настоящих технических требований, которые будут использованы им при разработке проектной документации и оснащении МКД, с ГП.</w:t>
      </w:r>
    </w:p>
    <w:p w14:paraId="25694865" w14:textId="77777777" w:rsidR="004F565C" w:rsidRDefault="000A7F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 xml:space="preserve">Согласованные с ГП инженерно-технические решения оформляются Протоколом, подписанным сторонами не позднее 10 (десяти) рабочих дней со дня получения соответствующих документов ГП от Застройщика и учитывается при проверке выполнения Застройщиком ТТ ГП. </w:t>
      </w:r>
    </w:p>
    <w:p w14:paraId="530B1D56" w14:textId="3EC6E8DD" w:rsidR="004F565C" w:rsidRDefault="000A7F14">
      <w:pPr>
        <w:pStyle w:val="a5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Застройщик </w:t>
      </w:r>
      <w:r w:rsidR="00101210" w:rsidRPr="00101210">
        <w:rPr>
          <w:rFonts w:ascii="Times New Roman" w:hAnsi="Times New Roman" w:cs="Times New Roman"/>
          <w:sz w:val="26"/>
          <w:szCs w:val="26"/>
        </w:rPr>
        <w:t xml:space="preserve">обязан </w:t>
      </w:r>
      <w:r>
        <w:rPr>
          <w:rFonts w:ascii="Times New Roman" w:hAnsi="Times New Roman" w:cs="Times New Roman"/>
          <w:sz w:val="26"/>
          <w:szCs w:val="26"/>
        </w:rPr>
        <w:t xml:space="preserve">обратиться к ГП с запросом о подтверждении соответствия разработанной проектной документации ТТ с приложением копии подраздела проектной документации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 в части подраздела «Система электроснабжения», который ГП обязан рассмотреть в течение 10 (десяти) рабочих дней со дня его получения и направить застройщику ответ, </w:t>
      </w:r>
      <w:r>
        <w:rPr>
          <w:rFonts w:ascii="Times New Roman" w:hAnsi="Times New Roman" w:cs="Times New Roman"/>
          <w:sz w:val="26"/>
          <w:szCs w:val="26"/>
        </w:rPr>
        <w:lastRenderedPageBreak/>
        <w:t>содержащий подтверждение соответствия или информацию о несоответствии проектных решений ТТ с указанием соответствующих замечаний. При не предоставлении ГП в указанный срок ответа на запрос, ПД считается соответствующей указанным требованиям.</w:t>
      </w:r>
    </w:p>
    <w:p w14:paraId="6C71537E" w14:textId="77777777" w:rsidR="004F565C" w:rsidRDefault="000A7F14">
      <w:pPr>
        <w:pStyle w:val="a5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 xml:space="preserve">После завершения работ по строительству МКД Застройщик направляет ГП уведомление о необходимости </w:t>
      </w:r>
      <w:r>
        <w:rPr>
          <w:rFonts w:ascii="Times New Roman" w:eastAsia="Calibri" w:hAnsi="Times New Roman" w:cs="Times New Roman"/>
          <w:sz w:val="26"/>
          <w:szCs w:val="26"/>
        </w:rPr>
        <w:t>«о необходимости допуска к эксплуатации индивидуальных, общих (для коммунальной квартиры) приборов учета электрической энергии</w:t>
      </w:r>
      <w:r>
        <w:rPr>
          <w:rFonts w:ascii="Times New Roman" w:eastAsia="Geneva" w:hAnsi="Times New Roman" w:cs="Times New Roman"/>
          <w:sz w:val="26"/>
          <w:szCs w:val="26"/>
        </w:rPr>
        <w:t xml:space="preserve"> с приложением следующих документов:</w:t>
      </w:r>
    </w:p>
    <w:p w14:paraId="529CEE27" w14:textId="77777777" w:rsidR="004F565C" w:rsidRDefault="000A7F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>- сведения о Застройщике (для юридических лиц - полное наименование, основной государственный регистрационный номер в Едином государственном реестре юридических лиц и дата внесения в реестр, для индивидуальных предпринимателей - основной государственный регистрационный номер индивидуального предпринимателя в Едином государственном реестре индивидуальных предпринимателей и дата внесения в реестр);</w:t>
      </w:r>
    </w:p>
    <w:p w14:paraId="69691EDD" w14:textId="63732689" w:rsidR="004F565C" w:rsidRDefault="000A7F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 xml:space="preserve">- копию Протокола согласования с ГП выбранных </w:t>
      </w:r>
      <w:r w:rsidR="00D46446">
        <w:rPr>
          <w:rFonts w:ascii="Times New Roman" w:eastAsia="Geneva" w:hAnsi="Times New Roman" w:cs="Times New Roman"/>
          <w:sz w:val="26"/>
          <w:szCs w:val="26"/>
        </w:rPr>
        <w:t>инженер</w:t>
      </w:r>
      <w:r w:rsidR="00D46446">
        <w:rPr>
          <w:rFonts w:ascii="Times New Roman" w:eastAsia="Geneva" w:hAnsi="Times New Roman" w:cs="Times New Roman"/>
          <w:strike/>
          <w:sz w:val="26"/>
          <w:szCs w:val="26"/>
        </w:rPr>
        <w:t>н</w:t>
      </w:r>
      <w:r w:rsidR="00D46446">
        <w:t>о</w:t>
      </w:r>
      <w:r>
        <w:rPr>
          <w:rFonts w:ascii="Times New Roman" w:eastAsia="Geneva" w:hAnsi="Times New Roman" w:cs="Times New Roman"/>
          <w:sz w:val="26"/>
          <w:szCs w:val="26"/>
        </w:rPr>
        <w:t xml:space="preserve">-технических решений (при наличии) или подтверждения ГП о соответствии или несоответствии ПД ТТ (при наличии); </w:t>
      </w:r>
    </w:p>
    <w:p w14:paraId="00D1F62E" w14:textId="77777777" w:rsidR="004F565C" w:rsidRDefault="000A7F14">
      <w:pPr>
        <w:tabs>
          <w:tab w:val="left" w:pos="0"/>
        </w:tabs>
        <w:spacing w:after="0" w:line="240" w:lineRule="auto"/>
        <w:ind w:firstLine="709"/>
        <w:jc w:val="both"/>
        <w:rPr>
          <w:shd w:val="clear" w:color="auto" w:fill="FFFFFF"/>
        </w:rPr>
      </w:pPr>
      <w:r>
        <w:rPr>
          <w:rFonts w:ascii="Times New Roman" w:eastAsia="Geneva" w:hAnsi="Times New Roman" w:cs="Times New Roman"/>
          <w:sz w:val="26"/>
          <w:szCs w:val="26"/>
          <w:shd w:val="clear" w:color="auto" w:fill="FFFFFF"/>
        </w:rPr>
        <w:t>- копию раздела ПД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 в части подраздела «Система электроснабжения», включающая инженерно-технические решения по оснащению коллективным (общедомовым) прибором учета электрической энергии, измерительными трансформаторами (при необходимости их установки одновременно с коллективным (общедомовым) прибором учета), системой внутренней связи (устройствами, каналами, линиями), предназначенной для сбора и передачи данных с приборов учета;</w:t>
      </w:r>
    </w:p>
    <w:p w14:paraId="11DDF9C9" w14:textId="6F32236D" w:rsidR="004F565C" w:rsidRDefault="000A7F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 xml:space="preserve">- </w:t>
      </w:r>
      <w:r w:rsidR="0076730B">
        <w:rPr>
          <w:rFonts w:ascii="Times New Roman" w:eastAsia="Geneva" w:hAnsi="Times New Roman" w:cs="Times New Roman"/>
          <w:sz w:val="26"/>
          <w:szCs w:val="26"/>
        </w:rPr>
        <w:t xml:space="preserve">технические паспорта </w:t>
      </w:r>
      <w:r>
        <w:rPr>
          <w:rFonts w:ascii="Times New Roman" w:eastAsia="Geneva" w:hAnsi="Times New Roman" w:cs="Times New Roman"/>
          <w:sz w:val="26"/>
          <w:szCs w:val="26"/>
        </w:rPr>
        <w:t>на все установленные приборы учета электрической энергии, устройства сбора и передачи данных и иную сопроводительную техническую и гарантийную документацию ко всем прочим установленным приборам, устройствам и оборудованию, необходимым для обеспечения коммерческого учета электрической энергии и присоединения приборов учета к интеллектуальной системе учета электрической энергии (мощности)</w:t>
      </w:r>
      <w:r>
        <w:rPr>
          <w:rFonts w:ascii="Times New Roman" w:eastAsia="Geneva" w:hAnsi="Times New Roman" w:cs="Times New Roman"/>
          <w:sz w:val="26"/>
          <w:szCs w:val="26"/>
          <w:shd w:val="clear" w:color="auto" w:fill="FFFFFF"/>
        </w:rPr>
        <w:t xml:space="preserve"> гарантирующего поставщика. </w:t>
      </w:r>
    </w:p>
    <w:p w14:paraId="0BC45AE8" w14:textId="77777777" w:rsidR="004F565C" w:rsidRDefault="000A7F14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Geneva" w:hAnsi="Times New Roman" w:cs="Times New Roman"/>
          <w:b/>
          <w:sz w:val="26"/>
          <w:szCs w:val="26"/>
        </w:rPr>
      </w:pPr>
      <w:r>
        <w:rPr>
          <w:rFonts w:ascii="Times New Roman" w:eastAsia="Geneva" w:hAnsi="Times New Roman" w:cs="Times New Roman"/>
          <w:b/>
          <w:sz w:val="26"/>
          <w:szCs w:val="26"/>
        </w:rPr>
        <w:t>Проверка выполнения технических требований и допуск ИПУ в эксплуатацию</w:t>
      </w:r>
    </w:p>
    <w:p w14:paraId="06E02ED2" w14:textId="48E4900D" w:rsidR="004F565C" w:rsidRDefault="000A7F14">
      <w:pPr>
        <w:pStyle w:val="a5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shd w:val="clear" w:color="auto" w:fill="B4C7DC"/>
        </w:rPr>
      </w:pPr>
      <w:r>
        <w:rPr>
          <w:rFonts w:ascii="Times New Roman" w:eastAsia="Geneva" w:hAnsi="Times New Roman" w:cs="Times New Roman"/>
          <w:sz w:val="26"/>
          <w:szCs w:val="26"/>
          <w:shd w:val="clear" w:color="auto" w:fill="FFFFFF"/>
        </w:rPr>
        <w:t xml:space="preserve">ГП производит проверку выполнения Застройщиком ТТ в рамках осуществления процедуры допуска коллективных (общедомовых) приборов учета электрической энергии к эксплуатации, </w:t>
      </w:r>
      <w:r w:rsidR="00D46446">
        <w:rPr>
          <w:rFonts w:ascii="Times New Roman" w:eastAsia="Geneva" w:hAnsi="Times New Roman" w:cs="Times New Roman"/>
          <w:sz w:val="26"/>
          <w:szCs w:val="26"/>
          <w:shd w:val="clear" w:color="auto" w:fill="FFFFFF"/>
        </w:rPr>
        <w:t>которые допускаются</w:t>
      </w:r>
      <w:r>
        <w:rPr>
          <w:rFonts w:ascii="Times New Roman" w:eastAsia="Geneva" w:hAnsi="Times New Roman" w:cs="Times New Roman"/>
          <w:sz w:val="26"/>
          <w:szCs w:val="26"/>
          <w:shd w:val="clear" w:color="auto" w:fill="FFFFFF"/>
        </w:rPr>
        <w:t xml:space="preserve"> в эксплуатацию в ходе технологического присоединения МКД к электрическим сетям одновременно с осмотром сетевой организацией присоединяемых электроустановок, предусмотренном Правилами технологического присоединения. </w:t>
      </w:r>
    </w:p>
    <w:p w14:paraId="6170D06B" w14:textId="77777777" w:rsidR="004F565C" w:rsidRDefault="000A7F14">
      <w:pPr>
        <w:pStyle w:val="a5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 xml:space="preserve">ГП производит проверку выполнения Застройщиком ТТ в рамках осуществления процедуры допуска индивидуальных и общих (для коммунальной квартиры) приборов учета электрической энергии, которые допускаются в эксплуатацию после подписания сетевой организацией акта об осуществлении технологического присоединения МКД с применением постоянной схемы электроснабжения, проверка выполнения ТТ включает в себя: </w:t>
      </w:r>
    </w:p>
    <w:p w14:paraId="3FF87BD0" w14:textId="77777777" w:rsidR="004F565C" w:rsidRDefault="000A7F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lastRenderedPageBreak/>
        <w:t>- проверку соответствия приборов учета, параметров устройств, каналов, линий, указанных в документах, представленных Застройщиком в соответствии с пунктом 3.1.1 настоящих ТТ;</w:t>
      </w:r>
    </w:p>
    <w:p w14:paraId="3AB2C21D" w14:textId="77777777" w:rsidR="004F565C" w:rsidRDefault="000A7F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 xml:space="preserve">- обследование приборов учета электрической энергии, системы внутренней связи (устройств, каналов, линий), предназначенной для сбора и передачи данных с приборов учета, на предмет их целостности, исправности, надлежащего функционирования, наличия и целостности пломб государственной поверки, соответствия паспортным характеристикам, представленной застройщиком проектной документации, и техническим требованиям; </w:t>
      </w:r>
    </w:p>
    <w:p w14:paraId="76CDAD6C" w14:textId="77777777" w:rsidR="004F565C" w:rsidRDefault="000A7F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>- в случае несоответствия индивидуальных, общих (квартирных) приборов учета электрической энергии, установленных застройщиком в МКД, требованиям ПП РФ-442 и иным обязательным требованиям, установленным законодательством об электроэнергетике и градостроительным законодательством Российской Федерации, или в случае невыполнения застройщиком технических требований для МКД, разрешение на строительство которых выдано после 1 января 2021 г., гарантирующий поставщик составляет и направляет застройщику в течение 3 (трех) рабочих дней со дня выявления таких замечаний в письменной форме перечень замечаний, выявленных в ходе проверки, подлежащих устранению в течение 10 (десяти) рабочих дней с даты получения такого уведомления.</w:t>
      </w:r>
    </w:p>
    <w:p w14:paraId="4B82EEBC" w14:textId="77777777" w:rsidR="004F565C" w:rsidRDefault="000A7F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>Повторная процедура допуска к эксплуатации индивидуальных, общих (квартирных) приборов учета электрической энергии, установленных застройщиком в многоквартирном доме, вводимом в эксплуатацию после осуществления строительства с 1 января 2021 г., осуществляется не позднее 10 (десяти) рабочих дней после получения от застройщика уведомления об устранении замечаний с указанием информации о принятых мерах по их устранению.</w:t>
      </w:r>
    </w:p>
    <w:p w14:paraId="790D8EB7" w14:textId="77777777" w:rsidR="004F565C" w:rsidRDefault="000A7F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>При комплексном освоении территории, проверка выполнения Застройщиком ТТ, ГП к устанавливаемым в МКД, вводимом в эксплуатацию после 31.12.2020 г., коллективному (общедомовому) прибору учета, а также к системе внутренней связи (устройствам, каналам, линиям) МКД, предназначенной для сбора и передачи данных с приборов учета, допуск к эксплуатации коллективного (общедомового) прибора учета электрической энергии, осуществляются одновременно с проверкой и допуском индивидуальных и общих (для коммунальных квартир) приборов учета электрической энергии, после подписания сетевой организацией акта об осуществлении технологического присоединения МКД с применением постоянной схемы электроснабжения;</w:t>
      </w:r>
    </w:p>
    <w:p w14:paraId="1828FC51" w14:textId="77777777" w:rsidR="004F565C" w:rsidRDefault="000A7F14">
      <w:pPr>
        <w:pStyle w:val="a5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 xml:space="preserve">Критерии работоспособности ИСУ при приемке является 100% сбор всех типов данных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в модуль АИИСКУЭ цифровой облачной платформы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энергоданных</w:t>
      </w:r>
      <w:proofErr w:type="spellEnd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РусГидро</w:t>
      </w:r>
      <w:r>
        <w:rPr>
          <w:rFonts w:ascii="Times New Roman" w:eastAsia="Geneva" w:hAnsi="Times New Roman" w:cs="Times New Roman"/>
          <w:sz w:val="26"/>
          <w:szCs w:val="26"/>
        </w:rPr>
        <w:t>, соответствующих требованиям раздела II ПП РФ № 890, с приборов учета не реже одного раза в сутки не менее 7 суток подряд;</w:t>
      </w:r>
    </w:p>
    <w:p w14:paraId="77647063" w14:textId="77777777" w:rsidR="004F565C" w:rsidRDefault="000A7F14">
      <w:pPr>
        <w:pStyle w:val="a5"/>
        <w:numPr>
          <w:ilvl w:val="2"/>
          <w:numId w:val="10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>Допуск ИПУ в эксплуатацию.</w:t>
      </w:r>
    </w:p>
    <w:p w14:paraId="6338724F" w14:textId="2BB44472" w:rsidR="004F565C" w:rsidRDefault="000A7F14">
      <w:pPr>
        <w:pStyle w:val="a5"/>
        <w:numPr>
          <w:ilvl w:val="3"/>
          <w:numId w:val="10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>После завершения проверки выполнения ТТ и допуска приборов учета электрической энергии к эксплуатации, оформляется акт допуска приборов учета к эксплуатации по форме Приложения №16 к Правилам технологического присоединения или Акт ввода прибора в эксплуатацию в соответствии с требованиями ПП РФ-354 п.81(6).</w:t>
      </w:r>
    </w:p>
    <w:p w14:paraId="078633B8" w14:textId="77777777" w:rsidR="004F565C" w:rsidRDefault="000A7F14">
      <w:pPr>
        <w:pStyle w:val="a5"/>
        <w:numPr>
          <w:ilvl w:val="3"/>
          <w:numId w:val="10"/>
        </w:numPr>
        <w:tabs>
          <w:tab w:val="left" w:pos="0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eastAsia="Geneva" w:hAnsi="Times New Roman" w:cs="Times New Roman"/>
          <w:sz w:val="26"/>
          <w:szCs w:val="26"/>
        </w:rPr>
      </w:pPr>
      <w:r>
        <w:rPr>
          <w:rFonts w:ascii="Times New Roman" w:eastAsia="Geneva" w:hAnsi="Times New Roman" w:cs="Times New Roman"/>
          <w:sz w:val="26"/>
          <w:szCs w:val="26"/>
        </w:rPr>
        <w:t>Акт допуска прибора учета в эксплуатацию подписывается ГП при условии выполнения Застройщиком ТТ в полном объеме.</w:t>
      </w:r>
    </w:p>
    <w:p w14:paraId="427AC65A" w14:textId="77777777" w:rsidR="004F565C" w:rsidRDefault="000A7F14">
      <w:pPr>
        <w:pStyle w:val="ConsPlusNormal"/>
        <w:numPr>
          <w:ilvl w:val="3"/>
          <w:numId w:val="10"/>
        </w:numPr>
        <w:tabs>
          <w:tab w:val="left" w:pos="0"/>
          <w:tab w:val="left" w:pos="170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Допуск к эксплуатации индивидуальных, общих (квартирных) </w:t>
      </w:r>
      <w:r>
        <w:rPr>
          <w:rFonts w:ascii="Times New Roman" w:hAnsi="Times New Roman" w:cs="Times New Roman"/>
          <w:sz w:val="26"/>
          <w:szCs w:val="26"/>
        </w:rPr>
        <w:lastRenderedPageBreak/>
        <w:t>приборов учета электрической энергии, установленных застройщиком в многоквартирном доме, вводимом в эксплуатацию после осуществления строительства., осуществляется гарантирующим поставщиком после подписания сетевой организацией акта об осуществлении технологического присоединения МКД с применением постоянной схемы электроснабжения.</w:t>
      </w:r>
    </w:p>
    <w:p w14:paraId="7B18407C" w14:textId="77777777" w:rsidR="004F565C" w:rsidRDefault="000A7F14">
      <w:pPr>
        <w:pStyle w:val="ConsPlusNormal"/>
        <w:numPr>
          <w:ilvl w:val="3"/>
          <w:numId w:val="10"/>
        </w:numPr>
        <w:tabs>
          <w:tab w:val="left" w:pos="0"/>
          <w:tab w:val="left" w:pos="170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Допуск к эксплуатации индивидуальных, общих (квартирных) приборов учета электрической энергии, установленных застройщиком в МКД, вводимом в эксплуатацию после осуществления строительства., осуществляется без приглашения лиц, указанных в пункте 151 ПП РФ-442.</w:t>
      </w:r>
    </w:p>
    <w:p w14:paraId="6C6ED46C" w14:textId="77777777" w:rsidR="004F565C" w:rsidRDefault="000A7F14">
      <w:pPr>
        <w:pStyle w:val="ConsPlusNormal"/>
        <w:numPr>
          <w:ilvl w:val="3"/>
          <w:numId w:val="10"/>
        </w:numPr>
        <w:tabs>
          <w:tab w:val="left" w:pos="0"/>
          <w:tab w:val="left" w:pos="170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осуществления допуска к эксплуатации индивидуальных, общих (квартирных) приборов учета электрической энергии гарантирующим поставщиком не должен превышать 30 дней со дня получения гарантирующим поставщиком уведомления от застройщика о необходимости допуска к эксплуатации индивидуальных, общих (квартирных) приборов учета электрической энергии.</w:t>
      </w:r>
    </w:p>
    <w:p w14:paraId="72D82B57" w14:textId="77777777" w:rsidR="004F565C" w:rsidRDefault="000A7F14">
      <w:pPr>
        <w:pStyle w:val="ConsPlusNormal"/>
        <w:numPr>
          <w:ilvl w:val="3"/>
          <w:numId w:val="10"/>
        </w:numPr>
        <w:tabs>
          <w:tab w:val="left" w:pos="0"/>
          <w:tab w:val="left" w:pos="1701"/>
        </w:tabs>
        <w:ind w:lef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В рамках допуска к эксплуатации индивидуальных, общих (квартирных) приборов учета электрической энергии, установленных застройщиком в многоквартирном доме, вводимом в эксплуатацию после осуществления строительства, гарантирующий поставщик осуществляет:</w:t>
      </w:r>
    </w:p>
    <w:p w14:paraId="6A03AF66" w14:textId="77777777" w:rsidR="004F565C" w:rsidRDefault="000A7F14">
      <w:pPr>
        <w:pStyle w:val="ConsPlusNormal"/>
        <w:tabs>
          <w:tab w:val="left" w:pos="0"/>
        </w:tabs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- проверку соответствия приборов учета, параметров устройств, каналов и линий, указанных в документах, представленных застройщиком, техническим требованиям;</w:t>
      </w:r>
    </w:p>
    <w:p w14:paraId="2A6CD391" w14:textId="77777777" w:rsidR="004F565C" w:rsidRDefault="000A7F14">
      <w:pPr>
        <w:pStyle w:val="ConsPlusNormal"/>
        <w:tabs>
          <w:tab w:val="left" w:pos="0"/>
        </w:tabs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- обследование приборов учета электрической энергии и иного оборудования, которое указано в пункте 137 ПП РФ-442, используется для коммерческого учета электрической энергии (мощности) и обеспечивает возможность присоединения приборов учета электрической энергии к интеллектуальной системе учета электрической энергии (мощности) гарантирующего поставщика, а также проверку способов присоединения приборов учета электрической энергии к элементам интеллектуальной системы учета электрической энергии (мощности), в том числе проверку коллективных (общедомовых) приборов учета электрической энергии в отношении их целостности, исправности, надлежащего функционирования, наличия и целостности пломб государственной поверки, соответствия паспортным характеристикам, представленной застройщиком проектной документации и техническим требованиям.</w:t>
      </w:r>
    </w:p>
    <w:p w14:paraId="2BFD30A7" w14:textId="77777777" w:rsidR="004F565C" w:rsidRDefault="000A7F14">
      <w:pPr>
        <w:pStyle w:val="ConsPlusNormal"/>
        <w:numPr>
          <w:ilvl w:val="3"/>
          <w:numId w:val="10"/>
        </w:numPr>
        <w:tabs>
          <w:tab w:val="left" w:pos="0"/>
          <w:tab w:val="left" w:pos="1701"/>
        </w:tabs>
        <w:ind w:lef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В случае несоответствия индивидуальных, общих (квартирных) приборов учета электрической энергии, установленных застройщиком в многоквартирном доме, требованиям настоящего документа и иным обязательным требованиям, установленным законодательством об электроэнергетике и градостроительным законодательством Российской Федерации, или в случае невыполнения застройщиком технических требований для многоквартирных домов, разрешение на строительство которых выдано после 1 января 2021 г., гарантирующий поставщик составляет и направляет застройщику в течение 3 рабочих дней со дня выявления таких замечаний в письменной форме перечень замечаний, выявленных в ходе проверки, подлежащих устранению в течение 10 (десяти) рабочих дней с даты получения такого уведомления.</w:t>
      </w:r>
    </w:p>
    <w:p w14:paraId="2B403B61" w14:textId="77777777" w:rsidR="004F565C" w:rsidRDefault="000A7F14">
      <w:pPr>
        <w:pStyle w:val="ConsPlusNormal"/>
        <w:numPr>
          <w:ilvl w:val="3"/>
          <w:numId w:val="10"/>
        </w:numPr>
        <w:tabs>
          <w:tab w:val="left" w:pos="0"/>
          <w:tab w:val="left" w:pos="170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Повторная процедура допуска к эксплуатации индивидуальных, общих (квартирных) приборов учета электрической энергии, установленных застройщиком в многоквартирном доме, вводимом в эксплуатацию после осуществления строительства с 1 января 2021 г., осуществляется не позднее 10 </w:t>
      </w:r>
      <w:r>
        <w:rPr>
          <w:rFonts w:ascii="Times New Roman" w:hAnsi="Times New Roman" w:cs="Times New Roman"/>
          <w:sz w:val="26"/>
          <w:szCs w:val="26"/>
        </w:rPr>
        <w:lastRenderedPageBreak/>
        <w:t>(десяти) рабочих дней после получения от застройщика уведомления об устранении замечаний с указанием информации о принятых мерах по их устранению.</w:t>
      </w:r>
    </w:p>
    <w:p w14:paraId="044D18C7" w14:textId="77777777" w:rsidR="004F565C" w:rsidRDefault="004F56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Geneva" w:hAnsi="Times New Roman" w:cs="Times New Roman"/>
          <w:sz w:val="26"/>
          <w:szCs w:val="26"/>
        </w:rPr>
      </w:pPr>
    </w:p>
    <w:p w14:paraId="1CBC41BE" w14:textId="77777777" w:rsidR="004F565C" w:rsidRDefault="000A7F14">
      <w:pPr>
        <w:pStyle w:val="a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Geneva" w:hAnsi="Times New Roman" w:cs="Times New Roman"/>
          <w:b/>
          <w:sz w:val="26"/>
          <w:szCs w:val="26"/>
        </w:rPr>
      </w:pPr>
      <w:r>
        <w:rPr>
          <w:rFonts w:ascii="Times New Roman" w:eastAsia="Geneva" w:hAnsi="Times New Roman" w:cs="Times New Roman"/>
          <w:b/>
          <w:sz w:val="26"/>
          <w:szCs w:val="26"/>
        </w:rPr>
        <w:t xml:space="preserve">Прием-передача Застройщиком установленных ИПУ Гарантирующему поставщику </w:t>
      </w:r>
    </w:p>
    <w:p w14:paraId="7D32D961" w14:textId="77777777" w:rsidR="004F565C" w:rsidRDefault="000A7F14">
      <w:pPr>
        <w:pStyle w:val="ConsPlusNormal"/>
        <w:numPr>
          <w:ilvl w:val="1"/>
          <w:numId w:val="11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течение 10 (десяти) рабочих дней после допуска к эксплуатации всех индивидуальных, общих (квартирных) и коллективных (общедомовых) приборов учета электрической энергии, установленных в многоквартирном доме, вводимом в эксплуатацию после осуществления строительства с 1 января 2021 г., Застройщик составляет и направляет для подписания Гарантирующему поставщику подписанный со своей стороны в 2 (двух) экземплярах акт приема-передачи в эксплуатацию приборов учета по форме согласно приложению № 6 к ПП РФ-442 (далее - акт приема-передачи приборов учета).</w:t>
      </w:r>
    </w:p>
    <w:p w14:paraId="22CA69C2" w14:textId="77777777" w:rsidR="004F565C" w:rsidRDefault="000A7F14">
      <w:pPr>
        <w:pStyle w:val="ConsPlusNormal"/>
        <w:numPr>
          <w:ilvl w:val="1"/>
          <w:numId w:val="11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Гарантирующий поставщик в течение 10 (десяти) рабочих дней со дня получения от застройщика акта приема-передачи приборов учета подписывает его и возвращает один экземпляр акта Застройщику.</w:t>
      </w:r>
    </w:p>
    <w:p w14:paraId="4A47F358" w14:textId="77777777" w:rsidR="004F565C" w:rsidRDefault="000A7F14">
      <w:pPr>
        <w:pStyle w:val="ConsPlusNormal"/>
        <w:numPr>
          <w:ilvl w:val="1"/>
          <w:numId w:val="11"/>
        </w:numPr>
        <w:tabs>
          <w:tab w:val="left" w:pos="0"/>
          <w:tab w:val="left" w:pos="170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До даты перехода права собственности на приборы учета к собственникам помещений в МКД ответственность за сохранность индивидуальных, общих (квартирных), коллективных (общедомовых) приборов учета электрической энергии, измерительных трансформаторов и иного оборудования, которое указано в пункте 137 ПП РФ-442, используется для коммерческого учета электрической энергии (мощности) и обеспечивает возможность присоединения приборов учета электрической энергии к интеллектуальной системе учета электрической энергии (мощности) Гарантирующего поставщика, несет застройщик.</w:t>
      </w:r>
    </w:p>
    <w:p w14:paraId="454F55D4" w14:textId="77777777" w:rsidR="004F565C" w:rsidRDefault="000A7F14">
      <w:pPr>
        <w:pStyle w:val="ConsPlusNormal"/>
        <w:numPr>
          <w:ilvl w:val="1"/>
          <w:numId w:val="11"/>
        </w:numPr>
        <w:tabs>
          <w:tab w:val="left" w:pos="0"/>
          <w:tab w:val="left" w:pos="170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Передача Застройщиком индивидуальных, общих (квартирных) и коллективных (общедомовых) приборов учета и измерительных трансформаторов, установленных в жилых и нежилых помещениях многоквартирного дома, в эксплуатацию Гарантирующему поставщику, а также передача необходимой технической и гарантийной документации осуществляются без взимания платы.</w:t>
      </w:r>
    </w:p>
    <w:p w14:paraId="0F9C7E36" w14:textId="77777777" w:rsidR="004F565C" w:rsidRDefault="000A7F14">
      <w:pPr>
        <w:pStyle w:val="ConsPlusNormal"/>
        <w:numPr>
          <w:ilvl w:val="1"/>
          <w:numId w:val="11"/>
        </w:numPr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передаче в эксплуатацию Застройщиком должна быть гарантирована работоспособность приборов учета электроэнергии и иного оборудования, входящего в состав интеллектуальной системы учета, на срок не менее 5 (пяти) лет.</w:t>
      </w:r>
    </w:p>
    <w:sectPr w:rsidR="004F565C">
      <w:headerReference w:type="default" r:id="rId15"/>
      <w:pgSz w:w="11906" w:h="16838"/>
      <w:pgMar w:top="1134" w:right="707" w:bottom="1134" w:left="1701" w:header="708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FE87BC" w14:textId="77777777" w:rsidR="00446B27" w:rsidRDefault="00446B27">
      <w:pPr>
        <w:spacing w:after="0" w:line="240" w:lineRule="auto"/>
      </w:pPr>
      <w:r>
        <w:separator/>
      </w:r>
    </w:p>
  </w:endnote>
  <w:endnote w:type="continuationSeparator" w:id="0">
    <w:p w14:paraId="295CDAFD" w14:textId="77777777" w:rsidR="00446B27" w:rsidRDefault="00446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Geneva">
    <w:altName w:val="Arial"/>
    <w:charset w:val="00"/>
    <w:family w:val="auto"/>
    <w:pitch w:val="variable"/>
    <w:sig w:usb0="03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914D2" w14:textId="77777777" w:rsidR="00446B27" w:rsidRDefault="00446B27">
      <w:pPr>
        <w:spacing w:after="0" w:line="240" w:lineRule="auto"/>
      </w:pPr>
      <w:r>
        <w:separator/>
      </w:r>
    </w:p>
  </w:footnote>
  <w:footnote w:type="continuationSeparator" w:id="0">
    <w:p w14:paraId="202A056E" w14:textId="77777777" w:rsidR="00446B27" w:rsidRDefault="00446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29280"/>
      <w:docPartObj>
        <w:docPartGallery w:val="Page Numbers (Top of Page)"/>
        <w:docPartUnique/>
      </w:docPartObj>
    </w:sdtPr>
    <w:sdtEndPr/>
    <w:sdtContent>
      <w:p w14:paraId="131D494D" w14:textId="7A956131" w:rsidR="004F565C" w:rsidRDefault="000A7F14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34AA4">
          <w:rPr>
            <w:noProof/>
          </w:rPr>
          <w:t>4</w:t>
        </w:r>
        <w:r>
          <w:fldChar w:fldCharType="end"/>
        </w:r>
      </w:p>
    </w:sdtContent>
  </w:sdt>
  <w:p w14:paraId="6591D807" w14:textId="77777777" w:rsidR="004F565C" w:rsidRDefault="004F565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10F5"/>
    <w:multiLevelType w:val="multilevel"/>
    <w:tmpl w:val="797AD4A4"/>
    <w:lvl w:ilvl="0">
      <w:start w:val="1"/>
      <w:numFmt w:val="decimal"/>
      <w:pStyle w:val="List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23022B6B"/>
    <w:multiLevelType w:val="multilevel"/>
    <w:tmpl w:val="D2EE7220"/>
    <w:lvl w:ilvl="0">
      <w:start w:val="1"/>
      <w:numFmt w:val="decimal"/>
      <w:lvlText w:val="3.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2">
    <w:nsid w:val="263324A6"/>
    <w:multiLevelType w:val="multilevel"/>
    <w:tmpl w:val="794CC6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32053630"/>
    <w:multiLevelType w:val="multilevel"/>
    <w:tmpl w:val="3C3E8F9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5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</w:lvl>
  </w:abstractNum>
  <w:abstractNum w:abstractNumId="4">
    <w:nsid w:val="35D62080"/>
    <w:multiLevelType w:val="multilevel"/>
    <w:tmpl w:val="ED1CE1BE"/>
    <w:lvl w:ilvl="0">
      <w:start w:val="3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4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6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8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5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7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25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176" w:hanging="1800"/>
      </w:pPr>
    </w:lvl>
  </w:abstractNum>
  <w:abstractNum w:abstractNumId="5">
    <w:nsid w:val="398D1270"/>
    <w:multiLevelType w:val="multilevel"/>
    <w:tmpl w:val="31F287A4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9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6">
    <w:nsid w:val="47BF1B29"/>
    <w:multiLevelType w:val="multilevel"/>
    <w:tmpl w:val="34BA3076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4"/>
      <w:numFmt w:val="decimal"/>
      <w:lvlText w:val="%2."/>
      <w:lvlJc w:val="left"/>
      <w:pPr>
        <w:tabs>
          <w:tab w:val="num" w:pos="0"/>
        </w:tabs>
        <w:ind w:left="114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9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7">
    <w:nsid w:val="48774078"/>
    <w:multiLevelType w:val="multilevel"/>
    <w:tmpl w:val="0D06123A"/>
    <w:lvl w:ilvl="0">
      <w:start w:val="1"/>
      <w:numFmt w:val="decimal"/>
      <w:lvlText w:val="3.2.%1."/>
      <w:lvlJc w:val="left"/>
      <w:pPr>
        <w:tabs>
          <w:tab w:val="num" w:pos="0"/>
        </w:tabs>
        <w:ind w:left="2204" w:hanging="360"/>
      </w:pPr>
      <w:rPr>
        <w:rFonts w:ascii="Times New Roman" w:hAnsi="Times New Roman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5B0D512C"/>
    <w:multiLevelType w:val="multilevel"/>
    <w:tmpl w:val="88968D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60545329"/>
    <w:multiLevelType w:val="multilevel"/>
    <w:tmpl w:val="49E8BB94"/>
    <w:lvl w:ilvl="0">
      <w:start w:val="2"/>
      <w:numFmt w:val="decimal"/>
      <w:lvlText w:val="3.%1."/>
      <w:lvlJc w:val="left"/>
      <w:pPr>
        <w:tabs>
          <w:tab w:val="num" w:pos="0"/>
        </w:tabs>
        <w:ind w:left="22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606B3396"/>
    <w:multiLevelType w:val="multilevel"/>
    <w:tmpl w:val="5F8E32C0"/>
    <w:lvl w:ilvl="0">
      <w:start w:val="3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9"/>
  </w:num>
  <w:num w:numId="7">
    <w:abstractNumId w:val="7"/>
  </w:num>
  <w:num w:numId="8">
    <w:abstractNumId w:val="6"/>
  </w:num>
  <w:num w:numId="9">
    <w:abstractNumId w:val="4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5C"/>
    <w:rsid w:val="00021D13"/>
    <w:rsid w:val="00034AA4"/>
    <w:rsid w:val="000A7F14"/>
    <w:rsid w:val="000B2C1E"/>
    <w:rsid w:val="00101210"/>
    <w:rsid w:val="00126C51"/>
    <w:rsid w:val="002F6BE5"/>
    <w:rsid w:val="00442D63"/>
    <w:rsid w:val="00446B27"/>
    <w:rsid w:val="0048374B"/>
    <w:rsid w:val="004F394B"/>
    <w:rsid w:val="004F565C"/>
    <w:rsid w:val="0057647D"/>
    <w:rsid w:val="0067212C"/>
    <w:rsid w:val="0070640C"/>
    <w:rsid w:val="0076730B"/>
    <w:rsid w:val="007A207D"/>
    <w:rsid w:val="00881BF0"/>
    <w:rsid w:val="008C3154"/>
    <w:rsid w:val="00A21807"/>
    <w:rsid w:val="00AD247F"/>
    <w:rsid w:val="00AF5465"/>
    <w:rsid w:val="00C24661"/>
    <w:rsid w:val="00CD0EB8"/>
    <w:rsid w:val="00D46446"/>
    <w:rsid w:val="00E72D6B"/>
    <w:rsid w:val="00F53F05"/>
    <w:rsid w:val="00FC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17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AB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150C0B"/>
    <w:pPr>
      <w:spacing w:before="300" w:after="300" w:line="600" w:lineRule="atLeast"/>
      <w:outlineLvl w:val="2"/>
    </w:pPr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0AB"/>
    <w:rPr>
      <w:b/>
      <w:bCs/>
      <w:i w:val="0"/>
      <w:iCs w:val="0"/>
    </w:rPr>
  </w:style>
  <w:style w:type="character" w:customStyle="1" w:styleId="blk">
    <w:name w:val="blk"/>
    <w:basedOn w:val="a0"/>
    <w:qFormat/>
    <w:rsid w:val="001F70AB"/>
  </w:style>
  <w:style w:type="character" w:customStyle="1" w:styleId="a4">
    <w:name w:val="Абзац списка Знак"/>
    <w:link w:val="a5"/>
    <w:qFormat/>
    <w:locked/>
    <w:rsid w:val="001F70AB"/>
  </w:style>
  <w:style w:type="character" w:customStyle="1" w:styleId="extended-textshort">
    <w:name w:val="extended-text__short"/>
    <w:basedOn w:val="a0"/>
    <w:qFormat/>
    <w:rsid w:val="001F70AB"/>
  </w:style>
  <w:style w:type="character" w:styleId="a6">
    <w:name w:val="annotation reference"/>
    <w:basedOn w:val="a0"/>
    <w:uiPriority w:val="99"/>
    <w:semiHidden/>
    <w:unhideWhenUsed/>
    <w:qFormat/>
    <w:rsid w:val="001F70AB"/>
    <w:rPr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qFormat/>
    <w:rsid w:val="001F70AB"/>
    <w:rPr>
      <w:sz w:val="20"/>
      <w:szCs w:val="20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1F70AB"/>
    <w:rPr>
      <w:rFonts w:ascii="Segoe UI" w:hAnsi="Segoe UI" w:cs="Segoe UI"/>
      <w:sz w:val="18"/>
      <w:szCs w:val="18"/>
    </w:rPr>
  </w:style>
  <w:style w:type="character" w:customStyle="1" w:styleId="ab">
    <w:name w:val="Тема примечания Знак"/>
    <w:basedOn w:val="a7"/>
    <w:link w:val="ac"/>
    <w:uiPriority w:val="99"/>
    <w:semiHidden/>
    <w:qFormat/>
    <w:rsid w:val="00AE7EFE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qFormat/>
    <w:rsid w:val="00150C0B"/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character" w:customStyle="1" w:styleId="ad">
    <w:name w:val="Верхний колонтитул Знак"/>
    <w:basedOn w:val="a0"/>
    <w:link w:val="ae"/>
    <w:uiPriority w:val="99"/>
    <w:qFormat/>
    <w:rsid w:val="005B38DB"/>
  </w:style>
  <w:style w:type="character" w:customStyle="1" w:styleId="af">
    <w:name w:val="Нижний колонтитул Знак"/>
    <w:basedOn w:val="a0"/>
    <w:link w:val="af0"/>
    <w:uiPriority w:val="99"/>
    <w:qFormat/>
    <w:rsid w:val="005B38DB"/>
  </w:style>
  <w:style w:type="character" w:styleId="af1">
    <w:name w:val="Hyperlink"/>
    <w:rPr>
      <w:color w:val="000080"/>
      <w:u w:val="single"/>
    </w:rPr>
  </w:style>
  <w:style w:type="character" w:styleId="af2">
    <w:name w:val="line number"/>
    <w:qFormat/>
  </w:style>
  <w:style w:type="paragraph" w:styleId="af3">
    <w:name w:val="Title"/>
    <w:basedOn w:val="a"/>
    <w:next w:val="af4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cs="Lohit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5">
    <w:name w:val="List Paragraph"/>
    <w:basedOn w:val="a"/>
    <w:link w:val="a4"/>
    <w:uiPriority w:val="34"/>
    <w:qFormat/>
    <w:rsid w:val="001F70AB"/>
    <w:pPr>
      <w:spacing w:after="200" w:line="276" w:lineRule="auto"/>
      <w:ind w:left="720"/>
      <w:contextualSpacing/>
    </w:pPr>
  </w:style>
  <w:style w:type="paragraph" w:styleId="a8">
    <w:name w:val="annotation text"/>
    <w:basedOn w:val="a"/>
    <w:link w:val="a7"/>
    <w:uiPriority w:val="99"/>
    <w:unhideWhenUsed/>
    <w:qFormat/>
    <w:rsid w:val="001F70AB"/>
    <w:pPr>
      <w:spacing w:line="240" w:lineRule="auto"/>
    </w:pPr>
    <w:rPr>
      <w:sz w:val="20"/>
      <w:szCs w:val="20"/>
    </w:rPr>
  </w:style>
  <w:style w:type="paragraph" w:styleId="aa">
    <w:name w:val="Balloon Text"/>
    <w:basedOn w:val="a"/>
    <w:link w:val="a9"/>
    <w:uiPriority w:val="99"/>
    <w:semiHidden/>
    <w:unhideWhenUsed/>
    <w:qFormat/>
    <w:rsid w:val="001F70A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annotation subject"/>
    <w:basedOn w:val="a8"/>
    <w:next w:val="a8"/>
    <w:link w:val="ab"/>
    <w:uiPriority w:val="99"/>
    <w:semiHidden/>
    <w:unhideWhenUsed/>
    <w:qFormat/>
    <w:rsid w:val="00AE7EFE"/>
    <w:rPr>
      <w:b/>
      <w:bCs/>
    </w:rPr>
  </w:style>
  <w:style w:type="paragraph" w:customStyle="1" w:styleId="ListNum">
    <w:name w:val="ListNum"/>
    <w:basedOn w:val="a"/>
    <w:qFormat/>
    <w:rsid w:val="00150C0B"/>
    <w:pPr>
      <w:numPr>
        <w:numId w:val="3"/>
      </w:numPr>
      <w:tabs>
        <w:tab w:val="left" w:pos="28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f8">
    <w:name w:val="Revision"/>
    <w:uiPriority w:val="99"/>
    <w:semiHidden/>
    <w:qFormat/>
    <w:rsid w:val="007B77D3"/>
  </w:style>
  <w:style w:type="paragraph" w:customStyle="1" w:styleId="ConsPlusNormal">
    <w:name w:val="ConsPlusNormal"/>
    <w:qFormat/>
    <w:rsid w:val="00334E34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af9">
    <w:name w:val="Колонтитул"/>
    <w:basedOn w:val="a"/>
    <w:qFormat/>
  </w:style>
  <w:style w:type="paragraph" w:styleId="ae">
    <w:name w:val="header"/>
    <w:basedOn w:val="a"/>
    <w:link w:val="ad"/>
    <w:uiPriority w:val="99"/>
    <w:unhideWhenUsed/>
    <w:rsid w:val="005B38DB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unhideWhenUsed/>
    <w:rsid w:val="005B38DB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AB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150C0B"/>
    <w:pPr>
      <w:spacing w:before="300" w:after="300" w:line="600" w:lineRule="atLeast"/>
      <w:outlineLvl w:val="2"/>
    </w:pPr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0AB"/>
    <w:rPr>
      <w:b/>
      <w:bCs/>
      <w:i w:val="0"/>
      <w:iCs w:val="0"/>
    </w:rPr>
  </w:style>
  <w:style w:type="character" w:customStyle="1" w:styleId="blk">
    <w:name w:val="blk"/>
    <w:basedOn w:val="a0"/>
    <w:qFormat/>
    <w:rsid w:val="001F70AB"/>
  </w:style>
  <w:style w:type="character" w:customStyle="1" w:styleId="a4">
    <w:name w:val="Абзац списка Знак"/>
    <w:link w:val="a5"/>
    <w:qFormat/>
    <w:locked/>
    <w:rsid w:val="001F70AB"/>
  </w:style>
  <w:style w:type="character" w:customStyle="1" w:styleId="extended-textshort">
    <w:name w:val="extended-text__short"/>
    <w:basedOn w:val="a0"/>
    <w:qFormat/>
    <w:rsid w:val="001F70AB"/>
  </w:style>
  <w:style w:type="character" w:styleId="a6">
    <w:name w:val="annotation reference"/>
    <w:basedOn w:val="a0"/>
    <w:uiPriority w:val="99"/>
    <w:semiHidden/>
    <w:unhideWhenUsed/>
    <w:qFormat/>
    <w:rsid w:val="001F70AB"/>
    <w:rPr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qFormat/>
    <w:rsid w:val="001F70AB"/>
    <w:rPr>
      <w:sz w:val="20"/>
      <w:szCs w:val="20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1F70AB"/>
    <w:rPr>
      <w:rFonts w:ascii="Segoe UI" w:hAnsi="Segoe UI" w:cs="Segoe UI"/>
      <w:sz w:val="18"/>
      <w:szCs w:val="18"/>
    </w:rPr>
  </w:style>
  <w:style w:type="character" w:customStyle="1" w:styleId="ab">
    <w:name w:val="Тема примечания Знак"/>
    <w:basedOn w:val="a7"/>
    <w:link w:val="ac"/>
    <w:uiPriority w:val="99"/>
    <w:semiHidden/>
    <w:qFormat/>
    <w:rsid w:val="00AE7EFE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qFormat/>
    <w:rsid w:val="00150C0B"/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character" w:customStyle="1" w:styleId="ad">
    <w:name w:val="Верхний колонтитул Знак"/>
    <w:basedOn w:val="a0"/>
    <w:link w:val="ae"/>
    <w:uiPriority w:val="99"/>
    <w:qFormat/>
    <w:rsid w:val="005B38DB"/>
  </w:style>
  <w:style w:type="character" w:customStyle="1" w:styleId="af">
    <w:name w:val="Нижний колонтитул Знак"/>
    <w:basedOn w:val="a0"/>
    <w:link w:val="af0"/>
    <w:uiPriority w:val="99"/>
    <w:qFormat/>
    <w:rsid w:val="005B38DB"/>
  </w:style>
  <w:style w:type="character" w:styleId="af1">
    <w:name w:val="Hyperlink"/>
    <w:rPr>
      <w:color w:val="000080"/>
      <w:u w:val="single"/>
    </w:rPr>
  </w:style>
  <w:style w:type="character" w:styleId="af2">
    <w:name w:val="line number"/>
    <w:qFormat/>
  </w:style>
  <w:style w:type="paragraph" w:styleId="af3">
    <w:name w:val="Title"/>
    <w:basedOn w:val="a"/>
    <w:next w:val="af4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cs="Lohit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5">
    <w:name w:val="List Paragraph"/>
    <w:basedOn w:val="a"/>
    <w:link w:val="a4"/>
    <w:uiPriority w:val="34"/>
    <w:qFormat/>
    <w:rsid w:val="001F70AB"/>
    <w:pPr>
      <w:spacing w:after="200" w:line="276" w:lineRule="auto"/>
      <w:ind w:left="720"/>
      <w:contextualSpacing/>
    </w:pPr>
  </w:style>
  <w:style w:type="paragraph" w:styleId="a8">
    <w:name w:val="annotation text"/>
    <w:basedOn w:val="a"/>
    <w:link w:val="a7"/>
    <w:uiPriority w:val="99"/>
    <w:unhideWhenUsed/>
    <w:qFormat/>
    <w:rsid w:val="001F70AB"/>
    <w:pPr>
      <w:spacing w:line="240" w:lineRule="auto"/>
    </w:pPr>
    <w:rPr>
      <w:sz w:val="20"/>
      <w:szCs w:val="20"/>
    </w:rPr>
  </w:style>
  <w:style w:type="paragraph" w:styleId="aa">
    <w:name w:val="Balloon Text"/>
    <w:basedOn w:val="a"/>
    <w:link w:val="a9"/>
    <w:uiPriority w:val="99"/>
    <w:semiHidden/>
    <w:unhideWhenUsed/>
    <w:qFormat/>
    <w:rsid w:val="001F70A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annotation subject"/>
    <w:basedOn w:val="a8"/>
    <w:next w:val="a8"/>
    <w:link w:val="ab"/>
    <w:uiPriority w:val="99"/>
    <w:semiHidden/>
    <w:unhideWhenUsed/>
    <w:qFormat/>
    <w:rsid w:val="00AE7EFE"/>
    <w:rPr>
      <w:b/>
      <w:bCs/>
    </w:rPr>
  </w:style>
  <w:style w:type="paragraph" w:customStyle="1" w:styleId="ListNum">
    <w:name w:val="ListNum"/>
    <w:basedOn w:val="a"/>
    <w:qFormat/>
    <w:rsid w:val="00150C0B"/>
    <w:pPr>
      <w:numPr>
        <w:numId w:val="3"/>
      </w:numPr>
      <w:tabs>
        <w:tab w:val="left" w:pos="28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f8">
    <w:name w:val="Revision"/>
    <w:uiPriority w:val="99"/>
    <w:semiHidden/>
    <w:qFormat/>
    <w:rsid w:val="007B77D3"/>
  </w:style>
  <w:style w:type="paragraph" w:customStyle="1" w:styleId="ConsPlusNormal">
    <w:name w:val="ConsPlusNormal"/>
    <w:qFormat/>
    <w:rsid w:val="00334E34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af9">
    <w:name w:val="Колонтитул"/>
    <w:basedOn w:val="a"/>
    <w:qFormat/>
  </w:style>
  <w:style w:type="paragraph" w:styleId="ae">
    <w:name w:val="header"/>
    <w:basedOn w:val="a"/>
    <w:link w:val="ad"/>
    <w:uiPriority w:val="99"/>
    <w:unhideWhenUsed/>
    <w:rsid w:val="005B38DB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unhideWhenUsed/>
    <w:rsid w:val="005B38DB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IEEE_802.15.4-200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PHY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Media_Access_Contro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ru.wikipedia.org/wiki/&#1040;&#1085;&#1075;&#1083;&#1080;&#1081;&#1089;&#1082;&#1080;&#1081;_&#1103;&#1079;&#1099;&#108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&#1055;&#1088;&#1086;&#1090;&#1086;&#1082;&#1086;&#1083;&#1099;_&#1089;&#1077;&#1090;&#1077;&#1074;&#1086;&#1075;&#1086;_&#1091;&#1088;&#1086;&#1074;&#1085;&#1103;" TargetMode="External"/><Relationship Id="rId14" Type="http://schemas.openxmlformats.org/officeDocument/2006/relationships/hyperlink" Target="https://ru.wikipedia.org/wiki/&#1041;&#1077;&#1089;&#1087;&#1088;&#1086;&#1074;&#1086;&#1076;&#1085;&#1099;&#1077;_&#1087;&#1077;&#1088;&#1089;&#1086;&#1085;&#1072;&#1083;&#1100;&#1085;&#1099;&#1077;_&#1089;&#1077;&#1090;&#1080;_(WPAN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FA3CA-7D75-47DE-885A-47597A81B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4680</Words>
  <Characters>26678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31296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Черненьков Владимир Владимирович</dc:creator>
  <dc:description/>
  <cp:lastModifiedBy>Тележинский Руслан Витальевич</cp:lastModifiedBy>
  <cp:revision>15</cp:revision>
  <cp:lastPrinted>2021-02-11T14:02:00Z</cp:lastPrinted>
  <dcterms:created xsi:type="dcterms:W3CDTF">2024-04-10T09:27:00Z</dcterms:created>
  <dcterms:modified xsi:type="dcterms:W3CDTF">2024-05-17T05:08:00Z</dcterms:modified>
  <dc:language>ru-RU</dc:language>
</cp:coreProperties>
</file>